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tbl>
      <w:tblPr>
        <w:tblW w:w="9705" w:type="dxa"/>
        <w:tblInd w:w="55" w:type="dxa"/>
        <w:tblCellMar>
          <w:left w:w="70" w:type="dxa"/>
          <w:right w:w="70" w:type="dxa"/>
        </w:tblCellMar>
        <w:tblLook w:val="04A0" w:firstRow="1" w:lastRow="0" w:firstColumn="1" w:lastColumn="0" w:noHBand="0" w:noVBand="1"/>
      </w:tblPr>
      <w:tblGrid>
        <w:gridCol w:w="1580"/>
        <w:gridCol w:w="2817"/>
        <w:gridCol w:w="1701"/>
        <w:gridCol w:w="1925"/>
        <w:gridCol w:w="830"/>
        <w:gridCol w:w="852"/>
      </w:tblGrid>
      <w:tr w:rsidR="00DA3EE3" w:rsidRPr="00DA3EE3" w:rsidTr="00DA3EE3">
        <w:trPr>
          <w:trHeight w:val="529"/>
        </w:trPr>
        <w:tc>
          <w:tcPr>
            <w:tcW w:w="1580" w:type="dxa"/>
            <w:tcBorders>
              <w:top w:val="single" w:sz="4" w:space="0" w:color="auto"/>
              <w:left w:val="single" w:sz="4" w:space="0" w:color="auto"/>
              <w:bottom w:val="nil"/>
              <w:right w:val="single" w:sz="4" w:space="0" w:color="auto"/>
            </w:tcBorders>
            <w:shd w:val="clear" w:color="auto" w:fill="auto"/>
            <w:noWrap/>
            <w:vAlign w:val="center"/>
            <w:hideMark/>
          </w:tcPr>
          <w:p w:rsidR="00DA3EE3" w:rsidRPr="00DA3EE3" w:rsidRDefault="00DA3EE3" w:rsidP="00DA3EE3">
            <w:pPr>
              <w:spacing w:after="0" w:line="240" w:lineRule="auto"/>
              <w:jc w:val="right"/>
              <w:rPr>
                <w:rFonts w:ascii="Arial CE" w:eastAsia="Times New Roman" w:hAnsi="Arial CE" w:cs="Arial CE"/>
                <w:color w:val="000000"/>
                <w:sz w:val="16"/>
                <w:szCs w:val="16"/>
                <w:lang w:eastAsia="cs-CZ"/>
              </w:rPr>
            </w:pPr>
            <w:r w:rsidRPr="00DA3EE3">
              <w:rPr>
                <w:rFonts w:ascii="Arial CE" w:eastAsia="Times New Roman" w:hAnsi="Arial CE" w:cs="Arial CE"/>
                <w:color w:val="000000"/>
                <w:sz w:val="16"/>
                <w:szCs w:val="16"/>
                <w:lang w:eastAsia="cs-CZ"/>
              </w:rPr>
              <w:t xml:space="preserve">Projektant: </w:t>
            </w:r>
          </w:p>
        </w:tc>
        <w:tc>
          <w:tcPr>
            <w:tcW w:w="2817" w:type="dxa"/>
            <w:tcBorders>
              <w:top w:val="single" w:sz="4" w:space="0" w:color="auto"/>
              <w:left w:val="nil"/>
              <w:bottom w:val="single" w:sz="4" w:space="0" w:color="000000"/>
              <w:right w:val="single" w:sz="4" w:space="0" w:color="000000"/>
            </w:tcBorders>
            <w:shd w:val="clear" w:color="auto" w:fill="auto"/>
            <w:noWrap/>
            <w:vAlign w:val="center"/>
            <w:hideMark/>
          </w:tcPr>
          <w:p w:rsidR="00DA3EE3" w:rsidRPr="00DA3EE3" w:rsidRDefault="00DA3EE3" w:rsidP="00DA3EE3">
            <w:pPr>
              <w:spacing w:after="0" w:line="240" w:lineRule="auto"/>
              <w:jc w:val="center"/>
              <w:rPr>
                <w:rFonts w:ascii="Arial CE" w:eastAsia="Times New Roman" w:hAnsi="Arial CE" w:cs="Arial CE"/>
                <w:color w:val="000000"/>
                <w:sz w:val="16"/>
                <w:szCs w:val="16"/>
                <w:lang w:eastAsia="cs-CZ"/>
              </w:rPr>
            </w:pPr>
            <w:r w:rsidRPr="00DA3EE3">
              <w:rPr>
                <w:rFonts w:ascii="Arial CE" w:eastAsia="Times New Roman" w:hAnsi="Arial CE" w:cs="Arial CE"/>
                <w:color w:val="000000"/>
                <w:sz w:val="16"/>
                <w:szCs w:val="16"/>
                <w:lang w:eastAsia="cs-CZ"/>
              </w:rPr>
              <w:t>Ing. Josef Kameník</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DA3EE3" w:rsidRPr="00DA3EE3" w:rsidRDefault="00DA3EE3" w:rsidP="00DA3EE3">
            <w:pPr>
              <w:spacing w:after="0" w:line="240" w:lineRule="auto"/>
              <w:jc w:val="right"/>
              <w:rPr>
                <w:rFonts w:ascii="Arial CE" w:eastAsia="Times New Roman" w:hAnsi="Arial CE" w:cs="Arial CE"/>
                <w:color w:val="000000"/>
                <w:sz w:val="16"/>
                <w:szCs w:val="16"/>
                <w:lang w:eastAsia="cs-CZ"/>
              </w:rPr>
            </w:pPr>
            <w:r w:rsidRPr="00DA3EE3">
              <w:rPr>
                <w:rFonts w:ascii="Arial CE" w:eastAsia="Times New Roman" w:hAnsi="Arial CE" w:cs="Arial CE"/>
                <w:color w:val="000000"/>
                <w:sz w:val="16"/>
                <w:szCs w:val="16"/>
                <w:lang w:eastAsia="cs-CZ"/>
              </w:rPr>
              <w:t xml:space="preserve">Vedoucí zakázky: </w:t>
            </w:r>
          </w:p>
        </w:tc>
        <w:tc>
          <w:tcPr>
            <w:tcW w:w="360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DA3EE3" w:rsidRPr="00DA3EE3" w:rsidRDefault="00DA3EE3" w:rsidP="00DA3EE3">
            <w:pPr>
              <w:spacing w:after="0" w:line="240" w:lineRule="auto"/>
              <w:jc w:val="center"/>
              <w:rPr>
                <w:rFonts w:ascii="Arial CE" w:eastAsia="Times New Roman" w:hAnsi="Arial CE" w:cs="Arial CE"/>
                <w:color w:val="000000"/>
                <w:sz w:val="16"/>
                <w:szCs w:val="16"/>
                <w:lang w:eastAsia="cs-CZ"/>
              </w:rPr>
            </w:pPr>
            <w:r w:rsidRPr="00DA3EE3">
              <w:rPr>
                <w:rFonts w:ascii="Arial CE" w:eastAsia="Times New Roman" w:hAnsi="Arial CE" w:cs="Arial CE"/>
                <w:color w:val="000000"/>
                <w:sz w:val="16"/>
                <w:szCs w:val="16"/>
                <w:lang w:eastAsia="cs-CZ"/>
              </w:rPr>
              <w:t>Ing. Jan Dušek</w:t>
            </w:r>
          </w:p>
        </w:tc>
      </w:tr>
      <w:tr w:rsidR="00DA3EE3" w:rsidRPr="00DA3EE3" w:rsidTr="00DA3EE3">
        <w:trPr>
          <w:trHeight w:val="300"/>
        </w:trPr>
        <w:tc>
          <w:tcPr>
            <w:tcW w:w="1580" w:type="dxa"/>
            <w:vMerge w:val="restart"/>
            <w:tcBorders>
              <w:top w:val="single" w:sz="12" w:space="0" w:color="auto"/>
              <w:left w:val="single" w:sz="12" w:space="0" w:color="auto"/>
              <w:bottom w:val="single" w:sz="4" w:space="0" w:color="000000"/>
              <w:right w:val="single" w:sz="12" w:space="0" w:color="000000"/>
            </w:tcBorders>
            <w:shd w:val="clear" w:color="000000" w:fill="BFBFBF"/>
            <w:noWrap/>
            <w:vAlign w:val="center"/>
            <w:hideMark/>
          </w:tcPr>
          <w:p w:rsidR="00DA3EE3" w:rsidRPr="00DA3EE3" w:rsidRDefault="00DA3EE3" w:rsidP="00DA3EE3">
            <w:pPr>
              <w:spacing w:after="0" w:line="240" w:lineRule="auto"/>
              <w:jc w:val="center"/>
              <w:rPr>
                <w:rFonts w:ascii="Arial CE" w:eastAsia="Times New Roman" w:hAnsi="Arial CE" w:cs="Arial CE"/>
                <w:color w:val="FFFFFF"/>
                <w:sz w:val="72"/>
                <w:szCs w:val="72"/>
                <w:lang w:eastAsia="cs-CZ"/>
              </w:rPr>
            </w:pPr>
            <w:r w:rsidRPr="00DA3EE3">
              <w:rPr>
                <w:rFonts w:ascii="Arial CE" w:eastAsia="Times New Roman" w:hAnsi="Arial CE" w:cs="Arial CE"/>
                <w:color w:val="FFFFFF"/>
                <w:sz w:val="72"/>
                <w:szCs w:val="72"/>
                <w:lang w:eastAsia="cs-CZ"/>
              </w:rPr>
              <w:t>DPT</w:t>
            </w:r>
          </w:p>
        </w:tc>
        <w:tc>
          <w:tcPr>
            <w:tcW w:w="2817" w:type="dxa"/>
            <w:vMerge w:val="restart"/>
            <w:tcBorders>
              <w:top w:val="nil"/>
              <w:left w:val="single" w:sz="12" w:space="0" w:color="auto"/>
              <w:bottom w:val="single" w:sz="4" w:space="0" w:color="000000"/>
              <w:right w:val="single" w:sz="4" w:space="0" w:color="auto"/>
            </w:tcBorders>
            <w:shd w:val="clear" w:color="auto" w:fill="auto"/>
            <w:noWrap/>
            <w:vAlign w:val="center"/>
            <w:hideMark/>
          </w:tcPr>
          <w:p w:rsidR="00DA3EE3" w:rsidRPr="00DA3EE3" w:rsidRDefault="00DA3EE3" w:rsidP="00DA3EE3">
            <w:pPr>
              <w:spacing w:after="0" w:line="240" w:lineRule="auto"/>
              <w:jc w:val="right"/>
              <w:rPr>
                <w:rFonts w:ascii="Arial CE" w:eastAsia="Times New Roman" w:hAnsi="Arial CE" w:cs="Arial CE"/>
                <w:color w:val="000000"/>
                <w:sz w:val="16"/>
                <w:szCs w:val="16"/>
                <w:lang w:eastAsia="cs-CZ"/>
              </w:rPr>
            </w:pPr>
            <w:r w:rsidRPr="00DA3EE3">
              <w:rPr>
                <w:rFonts w:ascii="Arial CE" w:eastAsia="Times New Roman" w:hAnsi="Arial CE" w:cs="Arial CE"/>
                <w:color w:val="000000"/>
                <w:sz w:val="16"/>
                <w:szCs w:val="16"/>
                <w:lang w:eastAsia="cs-CZ"/>
              </w:rPr>
              <w:t xml:space="preserve">Objednatel: </w:t>
            </w:r>
          </w:p>
        </w:tc>
        <w:tc>
          <w:tcPr>
            <w:tcW w:w="362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A3EE3" w:rsidRPr="00DA3EE3" w:rsidRDefault="00DA3EE3" w:rsidP="00DA3EE3">
            <w:pPr>
              <w:spacing w:after="0" w:line="240" w:lineRule="auto"/>
              <w:jc w:val="center"/>
              <w:rPr>
                <w:rFonts w:ascii="Arial CE" w:eastAsia="Times New Roman" w:hAnsi="Arial CE" w:cs="Arial CE"/>
                <w:color w:val="000000"/>
                <w:sz w:val="20"/>
                <w:szCs w:val="20"/>
                <w:lang w:eastAsia="cs-CZ"/>
              </w:rPr>
            </w:pPr>
            <w:r w:rsidRPr="00DA3EE3">
              <w:rPr>
                <w:rFonts w:ascii="Arial CE" w:eastAsia="Times New Roman" w:hAnsi="Arial CE" w:cs="Arial CE"/>
                <w:color w:val="000000"/>
                <w:sz w:val="20"/>
                <w:szCs w:val="20"/>
                <w:lang w:eastAsia="cs-CZ"/>
              </w:rPr>
              <w:t>Město Nejdek</w:t>
            </w:r>
          </w:p>
        </w:tc>
        <w:tc>
          <w:tcPr>
            <w:tcW w:w="830" w:type="dxa"/>
            <w:tcBorders>
              <w:top w:val="nil"/>
              <w:left w:val="nil"/>
              <w:bottom w:val="single" w:sz="4" w:space="0" w:color="auto"/>
              <w:right w:val="single" w:sz="4" w:space="0" w:color="auto"/>
            </w:tcBorders>
            <w:shd w:val="clear" w:color="auto" w:fill="auto"/>
            <w:noWrap/>
            <w:vAlign w:val="center"/>
            <w:hideMark/>
          </w:tcPr>
          <w:p w:rsidR="00DA3EE3" w:rsidRPr="00DA3EE3" w:rsidRDefault="00DA3EE3" w:rsidP="00DA3EE3">
            <w:pPr>
              <w:spacing w:after="0" w:line="240" w:lineRule="auto"/>
              <w:jc w:val="right"/>
              <w:rPr>
                <w:rFonts w:ascii="Arial CE" w:eastAsia="Times New Roman" w:hAnsi="Arial CE" w:cs="Arial CE"/>
                <w:color w:val="000000"/>
                <w:sz w:val="16"/>
                <w:szCs w:val="16"/>
                <w:lang w:eastAsia="cs-CZ"/>
              </w:rPr>
            </w:pPr>
            <w:r w:rsidRPr="00DA3EE3">
              <w:rPr>
                <w:rFonts w:ascii="Arial CE" w:eastAsia="Times New Roman" w:hAnsi="Arial CE" w:cs="Arial CE"/>
                <w:color w:val="000000"/>
                <w:sz w:val="16"/>
                <w:szCs w:val="16"/>
                <w:lang w:eastAsia="cs-CZ"/>
              </w:rPr>
              <w:t xml:space="preserve">Zakázka č.: </w:t>
            </w:r>
          </w:p>
        </w:tc>
        <w:tc>
          <w:tcPr>
            <w:tcW w:w="852" w:type="dxa"/>
            <w:tcBorders>
              <w:top w:val="nil"/>
              <w:left w:val="nil"/>
              <w:bottom w:val="single" w:sz="4" w:space="0" w:color="auto"/>
              <w:right w:val="single" w:sz="4" w:space="0" w:color="auto"/>
            </w:tcBorders>
            <w:shd w:val="clear" w:color="auto" w:fill="auto"/>
            <w:noWrap/>
            <w:vAlign w:val="center"/>
            <w:hideMark/>
          </w:tcPr>
          <w:p w:rsidR="00DA3EE3" w:rsidRPr="00DA3EE3" w:rsidRDefault="00DA3EE3" w:rsidP="00DA3EE3">
            <w:pPr>
              <w:spacing w:after="0" w:line="240" w:lineRule="auto"/>
              <w:jc w:val="center"/>
              <w:rPr>
                <w:rFonts w:ascii="Arial CE" w:eastAsia="Times New Roman" w:hAnsi="Arial CE" w:cs="Arial CE"/>
                <w:color w:val="000000"/>
                <w:sz w:val="16"/>
                <w:szCs w:val="16"/>
                <w:lang w:eastAsia="cs-CZ"/>
              </w:rPr>
            </w:pPr>
            <w:r w:rsidRPr="00DA3EE3">
              <w:rPr>
                <w:rFonts w:ascii="Arial CE" w:eastAsia="Times New Roman" w:hAnsi="Arial CE" w:cs="Arial CE"/>
                <w:color w:val="000000"/>
                <w:sz w:val="16"/>
                <w:szCs w:val="16"/>
                <w:lang w:eastAsia="cs-CZ"/>
              </w:rPr>
              <w:t>2021/56</w:t>
            </w:r>
          </w:p>
        </w:tc>
      </w:tr>
      <w:tr w:rsidR="00DA3EE3" w:rsidRPr="00DA3EE3" w:rsidTr="00DA3EE3">
        <w:trPr>
          <w:trHeight w:val="300"/>
        </w:trPr>
        <w:tc>
          <w:tcPr>
            <w:tcW w:w="1580" w:type="dxa"/>
            <w:vMerge/>
            <w:tcBorders>
              <w:top w:val="single" w:sz="12" w:space="0" w:color="auto"/>
              <w:left w:val="single" w:sz="12" w:space="0" w:color="auto"/>
              <w:bottom w:val="single" w:sz="4" w:space="0" w:color="000000"/>
              <w:right w:val="single" w:sz="12" w:space="0" w:color="000000"/>
            </w:tcBorders>
            <w:vAlign w:val="center"/>
            <w:hideMark/>
          </w:tcPr>
          <w:p w:rsidR="00DA3EE3" w:rsidRPr="00DA3EE3" w:rsidRDefault="00DA3EE3" w:rsidP="00DA3EE3">
            <w:pPr>
              <w:spacing w:after="0" w:line="240" w:lineRule="auto"/>
              <w:rPr>
                <w:rFonts w:ascii="Arial CE" w:eastAsia="Times New Roman" w:hAnsi="Arial CE" w:cs="Arial CE"/>
                <w:color w:val="FFFFFF"/>
                <w:sz w:val="72"/>
                <w:szCs w:val="72"/>
                <w:lang w:eastAsia="cs-CZ"/>
              </w:rPr>
            </w:pPr>
          </w:p>
        </w:tc>
        <w:tc>
          <w:tcPr>
            <w:tcW w:w="2817" w:type="dxa"/>
            <w:vMerge/>
            <w:tcBorders>
              <w:top w:val="nil"/>
              <w:left w:val="single" w:sz="12" w:space="0" w:color="auto"/>
              <w:bottom w:val="single" w:sz="4" w:space="0" w:color="000000"/>
              <w:right w:val="single" w:sz="4" w:space="0" w:color="auto"/>
            </w:tcBorders>
            <w:vAlign w:val="center"/>
            <w:hideMark/>
          </w:tcPr>
          <w:p w:rsidR="00DA3EE3" w:rsidRPr="00DA3EE3" w:rsidRDefault="00DA3EE3" w:rsidP="00DA3EE3">
            <w:pPr>
              <w:spacing w:after="0" w:line="240" w:lineRule="auto"/>
              <w:rPr>
                <w:rFonts w:ascii="Arial CE" w:eastAsia="Times New Roman" w:hAnsi="Arial CE" w:cs="Arial CE"/>
                <w:color w:val="000000"/>
                <w:sz w:val="16"/>
                <w:szCs w:val="16"/>
                <w:lang w:eastAsia="cs-CZ"/>
              </w:rPr>
            </w:pPr>
          </w:p>
        </w:tc>
        <w:tc>
          <w:tcPr>
            <w:tcW w:w="3626" w:type="dxa"/>
            <w:gridSpan w:val="2"/>
            <w:vMerge/>
            <w:tcBorders>
              <w:top w:val="single" w:sz="4" w:space="0" w:color="auto"/>
              <w:left w:val="single" w:sz="4" w:space="0" w:color="auto"/>
              <w:bottom w:val="single" w:sz="4" w:space="0" w:color="000000"/>
              <w:right w:val="single" w:sz="4" w:space="0" w:color="000000"/>
            </w:tcBorders>
            <w:vAlign w:val="center"/>
            <w:hideMark/>
          </w:tcPr>
          <w:p w:rsidR="00DA3EE3" w:rsidRPr="00DA3EE3" w:rsidRDefault="00DA3EE3" w:rsidP="00DA3EE3">
            <w:pPr>
              <w:spacing w:after="0" w:line="240" w:lineRule="auto"/>
              <w:rPr>
                <w:rFonts w:ascii="Arial CE" w:eastAsia="Times New Roman" w:hAnsi="Arial CE" w:cs="Arial CE"/>
                <w:color w:val="000000"/>
                <w:sz w:val="20"/>
                <w:szCs w:val="20"/>
                <w:lang w:eastAsia="cs-CZ"/>
              </w:rPr>
            </w:pPr>
          </w:p>
        </w:tc>
        <w:tc>
          <w:tcPr>
            <w:tcW w:w="830" w:type="dxa"/>
            <w:tcBorders>
              <w:top w:val="nil"/>
              <w:left w:val="nil"/>
              <w:bottom w:val="single" w:sz="4" w:space="0" w:color="auto"/>
              <w:right w:val="single" w:sz="4" w:space="0" w:color="auto"/>
            </w:tcBorders>
            <w:shd w:val="clear" w:color="auto" w:fill="auto"/>
            <w:noWrap/>
            <w:vAlign w:val="center"/>
            <w:hideMark/>
          </w:tcPr>
          <w:p w:rsidR="00DA3EE3" w:rsidRPr="00DA3EE3" w:rsidRDefault="00DA3EE3" w:rsidP="00DA3EE3">
            <w:pPr>
              <w:spacing w:after="0" w:line="240" w:lineRule="auto"/>
              <w:jc w:val="right"/>
              <w:rPr>
                <w:rFonts w:ascii="Arial CE" w:eastAsia="Times New Roman" w:hAnsi="Arial CE" w:cs="Arial CE"/>
                <w:color w:val="000000"/>
                <w:sz w:val="16"/>
                <w:szCs w:val="16"/>
                <w:lang w:eastAsia="cs-CZ"/>
              </w:rPr>
            </w:pPr>
            <w:r w:rsidRPr="00DA3EE3">
              <w:rPr>
                <w:rFonts w:ascii="Arial CE" w:eastAsia="Times New Roman" w:hAnsi="Arial CE" w:cs="Arial CE"/>
                <w:color w:val="000000"/>
                <w:sz w:val="16"/>
                <w:szCs w:val="16"/>
                <w:lang w:eastAsia="cs-CZ"/>
              </w:rPr>
              <w:t xml:space="preserve">Stupeň: </w:t>
            </w:r>
          </w:p>
        </w:tc>
        <w:tc>
          <w:tcPr>
            <w:tcW w:w="852" w:type="dxa"/>
            <w:tcBorders>
              <w:top w:val="nil"/>
              <w:left w:val="nil"/>
              <w:bottom w:val="single" w:sz="4" w:space="0" w:color="auto"/>
              <w:right w:val="single" w:sz="4" w:space="0" w:color="auto"/>
            </w:tcBorders>
            <w:shd w:val="clear" w:color="auto" w:fill="auto"/>
            <w:noWrap/>
            <w:vAlign w:val="center"/>
            <w:hideMark/>
          </w:tcPr>
          <w:p w:rsidR="00DA3EE3" w:rsidRPr="00DA3EE3" w:rsidRDefault="00DA3EE3" w:rsidP="00DA3EE3">
            <w:pPr>
              <w:spacing w:after="0" w:line="240" w:lineRule="auto"/>
              <w:jc w:val="center"/>
              <w:rPr>
                <w:rFonts w:ascii="Arial CE" w:eastAsia="Times New Roman" w:hAnsi="Arial CE" w:cs="Arial CE"/>
                <w:color w:val="000000"/>
                <w:sz w:val="16"/>
                <w:szCs w:val="16"/>
                <w:lang w:eastAsia="cs-CZ"/>
              </w:rPr>
            </w:pPr>
            <w:r w:rsidRPr="00DA3EE3">
              <w:rPr>
                <w:rFonts w:ascii="Arial CE" w:eastAsia="Times New Roman" w:hAnsi="Arial CE" w:cs="Arial CE"/>
                <w:color w:val="000000"/>
                <w:sz w:val="16"/>
                <w:szCs w:val="16"/>
                <w:lang w:eastAsia="cs-CZ"/>
              </w:rPr>
              <w:t>DSP</w:t>
            </w:r>
          </w:p>
        </w:tc>
      </w:tr>
      <w:tr w:rsidR="00DA3EE3" w:rsidRPr="00DA3EE3" w:rsidTr="00DA3EE3">
        <w:trPr>
          <w:trHeight w:val="300"/>
        </w:trPr>
        <w:tc>
          <w:tcPr>
            <w:tcW w:w="1580" w:type="dxa"/>
            <w:vMerge/>
            <w:tcBorders>
              <w:top w:val="single" w:sz="12" w:space="0" w:color="auto"/>
              <w:left w:val="single" w:sz="12" w:space="0" w:color="auto"/>
              <w:bottom w:val="single" w:sz="4" w:space="0" w:color="000000"/>
              <w:right w:val="single" w:sz="12" w:space="0" w:color="000000"/>
            </w:tcBorders>
            <w:vAlign w:val="center"/>
            <w:hideMark/>
          </w:tcPr>
          <w:p w:rsidR="00DA3EE3" w:rsidRPr="00DA3EE3" w:rsidRDefault="00DA3EE3" w:rsidP="00DA3EE3">
            <w:pPr>
              <w:spacing w:after="0" w:line="240" w:lineRule="auto"/>
              <w:rPr>
                <w:rFonts w:ascii="Arial CE" w:eastAsia="Times New Roman" w:hAnsi="Arial CE" w:cs="Arial CE"/>
                <w:color w:val="FFFFFF"/>
                <w:sz w:val="72"/>
                <w:szCs w:val="72"/>
                <w:lang w:eastAsia="cs-CZ"/>
              </w:rPr>
            </w:pPr>
          </w:p>
        </w:tc>
        <w:tc>
          <w:tcPr>
            <w:tcW w:w="2817" w:type="dxa"/>
            <w:vMerge w:val="restart"/>
            <w:tcBorders>
              <w:top w:val="nil"/>
              <w:left w:val="single" w:sz="12" w:space="0" w:color="auto"/>
              <w:bottom w:val="single" w:sz="4" w:space="0" w:color="000000"/>
              <w:right w:val="single" w:sz="4" w:space="0" w:color="auto"/>
            </w:tcBorders>
            <w:shd w:val="clear" w:color="auto" w:fill="auto"/>
            <w:noWrap/>
            <w:vAlign w:val="center"/>
            <w:hideMark/>
          </w:tcPr>
          <w:p w:rsidR="00DA3EE3" w:rsidRPr="00DA3EE3" w:rsidRDefault="00DA3EE3" w:rsidP="00DA3EE3">
            <w:pPr>
              <w:spacing w:after="0" w:line="240" w:lineRule="auto"/>
              <w:jc w:val="right"/>
              <w:rPr>
                <w:rFonts w:ascii="Arial CE" w:eastAsia="Times New Roman" w:hAnsi="Arial CE" w:cs="Arial CE"/>
                <w:color w:val="000000"/>
                <w:sz w:val="16"/>
                <w:szCs w:val="16"/>
                <w:lang w:eastAsia="cs-CZ"/>
              </w:rPr>
            </w:pPr>
            <w:r w:rsidRPr="00DA3EE3">
              <w:rPr>
                <w:rFonts w:ascii="Arial CE" w:eastAsia="Times New Roman" w:hAnsi="Arial CE" w:cs="Arial CE"/>
                <w:color w:val="000000"/>
                <w:sz w:val="16"/>
                <w:szCs w:val="16"/>
                <w:lang w:eastAsia="cs-CZ"/>
              </w:rPr>
              <w:t xml:space="preserve">Zakázka: </w:t>
            </w:r>
          </w:p>
        </w:tc>
        <w:tc>
          <w:tcPr>
            <w:tcW w:w="362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A3EE3" w:rsidRPr="00DA3EE3" w:rsidRDefault="00DA3EE3" w:rsidP="00DA3EE3">
            <w:pPr>
              <w:spacing w:after="0" w:line="240" w:lineRule="auto"/>
              <w:jc w:val="center"/>
              <w:rPr>
                <w:rFonts w:ascii="Arial CE" w:eastAsia="Times New Roman" w:hAnsi="Arial CE" w:cs="Arial CE"/>
                <w:color w:val="000000"/>
                <w:sz w:val="20"/>
                <w:szCs w:val="20"/>
                <w:lang w:eastAsia="cs-CZ"/>
              </w:rPr>
            </w:pPr>
            <w:r w:rsidRPr="00DA3EE3">
              <w:rPr>
                <w:rFonts w:ascii="Arial CE" w:eastAsia="Times New Roman" w:hAnsi="Arial CE" w:cs="Arial CE"/>
                <w:color w:val="000000"/>
                <w:sz w:val="20"/>
                <w:szCs w:val="20"/>
                <w:lang w:eastAsia="cs-CZ"/>
              </w:rPr>
              <w:t xml:space="preserve">Nejdek, autobusové zastávky </w:t>
            </w:r>
            <w:proofErr w:type="spellStart"/>
            <w:r w:rsidRPr="00DA3EE3">
              <w:rPr>
                <w:rFonts w:ascii="Arial CE" w:eastAsia="Times New Roman" w:hAnsi="Arial CE" w:cs="Arial CE"/>
                <w:color w:val="000000"/>
                <w:sz w:val="20"/>
                <w:szCs w:val="20"/>
                <w:lang w:eastAsia="cs-CZ"/>
              </w:rPr>
              <w:t>Pozorka</w:t>
            </w:r>
            <w:proofErr w:type="spellEnd"/>
          </w:p>
        </w:tc>
        <w:tc>
          <w:tcPr>
            <w:tcW w:w="830" w:type="dxa"/>
            <w:tcBorders>
              <w:top w:val="nil"/>
              <w:left w:val="nil"/>
              <w:bottom w:val="single" w:sz="4" w:space="0" w:color="auto"/>
              <w:right w:val="single" w:sz="4" w:space="0" w:color="auto"/>
            </w:tcBorders>
            <w:shd w:val="clear" w:color="auto" w:fill="auto"/>
            <w:noWrap/>
            <w:vAlign w:val="center"/>
            <w:hideMark/>
          </w:tcPr>
          <w:p w:rsidR="00DA3EE3" w:rsidRPr="00DA3EE3" w:rsidRDefault="00DA3EE3" w:rsidP="00DA3EE3">
            <w:pPr>
              <w:spacing w:after="0" w:line="240" w:lineRule="auto"/>
              <w:jc w:val="right"/>
              <w:rPr>
                <w:rFonts w:ascii="Arial CE" w:eastAsia="Times New Roman" w:hAnsi="Arial CE" w:cs="Arial CE"/>
                <w:color w:val="000000"/>
                <w:sz w:val="16"/>
                <w:szCs w:val="16"/>
                <w:lang w:eastAsia="cs-CZ"/>
              </w:rPr>
            </w:pPr>
            <w:r w:rsidRPr="00DA3EE3">
              <w:rPr>
                <w:rFonts w:ascii="Arial CE" w:eastAsia="Times New Roman" w:hAnsi="Arial CE" w:cs="Arial CE"/>
                <w:color w:val="000000"/>
                <w:sz w:val="16"/>
                <w:szCs w:val="16"/>
                <w:lang w:eastAsia="cs-CZ"/>
              </w:rPr>
              <w:t xml:space="preserve">Datum: </w:t>
            </w:r>
          </w:p>
        </w:tc>
        <w:tc>
          <w:tcPr>
            <w:tcW w:w="852" w:type="dxa"/>
            <w:tcBorders>
              <w:top w:val="nil"/>
              <w:left w:val="nil"/>
              <w:bottom w:val="single" w:sz="4" w:space="0" w:color="auto"/>
              <w:right w:val="single" w:sz="4" w:space="0" w:color="auto"/>
            </w:tcBorders>
            <w:shd w:val="clear" w:color="auto" w:fill="auto"/>
            <w:noWrap/>
            <w:vAlign w:val="center"/>
            <w:hideMark/>
          </w:tcPr>
          <w:p w:rsidR="00DA3EE3" w:rsidRPr="00DA3EE3" w:rsidRDefault="00DA3EE3" w:rsidP="00DA3EE3">
            <w:pPr>
              <w:spacing w:after="0" w:line="240" w:lineRule="auto"/>
              <w:jc w:val="center"/>
              <w:rPr>
                <w:rFonts w:ascii="Arial CE" w:eastAsia="Times New Roman" w:hAnsi="Arial CE" w:cs="Arial CE"/>
                <w:color w:val="000000"/>
                <w:sz w:val="16"/>
                <w:szCs w:val="16"/>
                <w:lang w:eastAsia="cs-CZ"/>
              </w:rPr>
            </w:pPr>
            <w:proofErr w:type="gramStart"/>
            <w:r w:rsidRPr="00DA3EE3">
              <w:rPr>
                <w:rFonts w:ascii="Arial CE" w:eastAsia="Times New Roman" w:hAnsi="Arial CE" w:cs="Arial CE"/>
                <w:color w:val="000000"/>
                <w:sz w:val="16"/>
                <w:szCs w:val="16"/>
                <w:lang w:eastAsia="cs-CZ"/>
              </w:rPr>
              <w:t>31.1.2022</w:t>
            </w:r>
            <w:proofErr w:type="gramEnd"/>
          </w:p>
        </w:tc>
      </w:tr>
      <w:tr w:rsidR="00DA3EE3" w:rsidRPr="00DA3EE3" w:rsidTr="00DA3EE3">
        <w:trPr>
          <w:trHeight w:val="300"/>
        </w:trPr>
        <w:tc>
          <w:tcPr>
            <w:tcW w:w="1580" w:type="dxa"/>
            <w:vMerge/>
            <w:tcBorders>
              <w:top w:val="single" w:sz="12" w:space="0" w:color="auto"/>
              <w:left w:val="single" w:sz="12" w:space="0" w:color="auto"/>
              <w:bottom w:val="single" w:sz="4" w:space="0" w:color="000000"/>
              <w:right w:val="single" w:sz="12" w:space="0" w:color="000000"/>
            </w:tcBorders>
            <w:vAlign w:val="center"/>
            <w:hideMark/>
          </w:tcPr>
          <w:p w:rsidR="00DA3EE3" w:rsidRPr="00DA3EE3" w:rsidRDefault="00DA3EE3" w:rsidP="00DA3EE3">
            <w:pPr>
              <w:spacing w:after="0" w:line="240" w:lineRule="auto"/>
              <w:rPr>
                <w:rFonts w:ascii="Arial CE" w:eastAsia="Times New Roman" w:hAnsi="Arial CE" w:cs="Arial CE"/>
                <w:color w:val="FFFFFF"/>
                <w:sz w:val="72"/>
                <w:szCs w:val="72"/>
                <w:lang w:eastAsia="cs-CZ"/>
              </w:rPr>
            </w:pPr>
          </w:p>
        </w:tc>
        <w:tc>
          <w:tcPr>
            <w:tcW w:w="2817" w:type="dxa"/>
            <w:vMerge/>
            <w:tcBorders>
              <w:top w:val="nil"/>
              <w:left w:val="single" w:sz="12" w:space="0" w:color="auto"/>
              <w:bottom w:val="single" w:sz="4" w:space="0" w:color="000000"/>
              <w:right w:val="single" w:sz="4" w:space="0" w:color="auto"/>
            </w:tcBorders>
            <w:vAlign w:val="center"/>
            <w:hideMark/>
          </w:tcPr>
          <w:p w:rsidR="00DA3EE3" w:rsidRPr="00DA3EE3" w:rsidRDefault="00DA3EE3" w:rsidP="00DA3EE3">
            <w:pPr>
              <w:spacing w:after="0" w:line="240" w:lineRule="auto"/>
              <w:rPr>
                <w:rFonts w:ascii="Arial CE" w:eastAsia="Times New Roman" w:hAnsi="Arial CE" w:cs="Arial CE"/>
                <w:color w:val="000000"/>
                <w:sz w:val="16"/>
                <w:szCs w:val="16"/>
                <w:lang w:eastAsia="cs-CZ"/>
              </w:rPr>
            </w:pPr>
          </w:p>
        </w:tc>
        <w:tc>
          <w:tcPr>
            <w:tcW w:w="3626" w:type="dxa"/>
            <w:gridSpan w:val="2"/>
            <w:vMerge/>
            <w:tcBorders>
              <w:top w:val="single" w:sz="4" w:space="0" w:color="auto"/>
              <w:left w:val="single" w:sz="4" w:space="0" w:color="auto"/>
              <w:bottom w:val="single" w:sz="4" w:space="0" w:color="000000"/>
              <w:right w:val="single" w:sz="4" w:space="0" w:color="000000"/>
            </w:tcBorders>
            <w:vAlign w:val="center"/>
            <w:hideMark/>
          </w:tcPr>
          <w:p w:rsidR="00DA3EE3" w:rsidRPr="00DA3EE3" w:rsidRDefault="00DA3EE3" w:rsidP="00DA3EE3">
            <w:pPr>
              <w:spacing w:after="0" w:line="240" w:lineRule="auto"/>
              <w:rPr>
                <w:rFonts w:ascii="Arial CE" w:eastAsia="Times New Roman" w:hAnsi="Arial CE" w:cs="Arial CE"/>
                <w:color w:val="000000"/>
                <w:sz w:val="20"/>
                <w:szCs w:val="20"/>
                <w:lang w:eastAsia="cs-CZ"/>
              </w:rPr>
            </w:pPr>
          </w:p>
        </w:tc>
        <w:tc>
          <w:tcPr>
            <w:tcW w:w="830" w:type="dxa"/>
            <w:tcBorders>
              <w:top w:val="nil"/>
              <w:left w:val="nil"/>
              <w:bottom w:val="single" w:sz="4" w:space="0" w:color="auto"/>
              <w:right w:val="single" w:sz="4" w:space="0" w:color="auto"/>
            </w:tcBorders>
            <w:shd w:val="clear" w:color="auto" w:fill="auto"/>
            <w:noWrap/>
            <w:vAlign w:val="center"/>
            <w:hideMark/>
          </w:tcPr>
          <w:p w:rsidR="00DA3EE3" w:rsidRPr="00DA3EE3" w:rsidRDefault="00DA3EE3" w:rsidP="00DA3EE3">
            <w:pPr>
              <w:spacing w:after="0" w:line="240" w:lineRule="auto"/>
              <w:jc w:val="right"/>
              <w:rPr>
                <w:rFonts w:ascii="Arial CE" w:eastAsia="Times New Roman" w:hAnsi="Arial CE" w:cs="Arial CE"/>
                <w:sz w:val="16"/>
                <w:szCs w:val="16"/>
                <w:lang w:eastAsia="cs-CZ"/>
              </w:rPr>
            </w:pPr>
            <w:r w:rsidRPr="00DA3EE3">
              <w:rPr>
                <w:rFonts w:ascii="Arial CE" w:eastAsia="Times New Roman" w:hAnsi="Arial CE" w:cs="Arial CE"/>
                <w:sz w:val="16"/>
                <w:szCs w:val="16"/>
                <w:lang w:eastAsia="cs-CZ"/>
              </w:rPr>
              <w:t xml:space="preserve">Měřítko: </w:t>
            </w:r>
          </w:p>
        </w:tc>
        <w:tc>
          <w:tcPr>
            <w:tcW w:w="852" w:type="dxa"/>
            <w:tcBorders>
              <w:top w:val="nil"/>
              <w:left w:val="nil"/>
              <w:bottom w:val="single" w:sz="4" w:space="0" w:color="auto"/>
              <w:right w:val="single" w:sz="4" w:space="0" w:color="auto"/>
            </w:tcBorders>
            <w:shd w:val="clear" w:color="auto" w:fill="auto"/>
            <w:noWrap/>
            <w:vAlign w:val="center"/>
            <w:hideMark/>
          </w:tcPr>
          <w:p w:rsidR="00DA3EE3" w:rsidRPr="00DA3EE3" w:rsidRDefault="00DA3EE3" w:rsidP="00DA3EE3">
            <w:pPr>
              <w:spacing w:after="0" w:line="240" w:lineRule="auto"/>
              <w:jc w:val="center"/>
              <w:rPr>
                <w:rFonts w:ascii="Arial CE" w:eastAsia="Times New Roman" w:hAnsi="Arial CE" w:cs="Arial CE"/>
                <w:sz w:val="16"/>
                <w:szCs w:val="16"/>
                <w:lang w:eastAsia="cs-CZ"/>
              </w:rPr>
            </w:pPr>
            <w:r w:rsidRPr="00DA3EE3">
              <w:rPr>
                <w:rFonts w:ascii="Arial CE" w:eastAsia="Times New Roman" w:hAnsi="Arial CE" w:cs="Arial CE"/>
                <w:sz w:val="16"/>
                <w:szCs w:val="16"/>
                <w:lang w:eastAsia="cs-CZ"/>
              </w:rPr>
              <w:t>0</w:t>
            </w:r>
          </w:p>
        </w:tc>
      </w:tr>
      <w:tr w:rsidR="00DA3EE3" w:rsidRPr="00DA3EE3" w:rsidTr="00DA3EE3">
        <w:trPr>
          <w:trHeight w:val="300"/>
        </w:trPr>
        <w:tc>
          <w:tcPr>
            <w:tcW w:w="1580" w:type="dxa"/>
            <w:vMerge w:val="restart"/>
            <w:tcBorders>
              <w:top w:val="single" w:sz="4" w:space="0" w:color="auto"/>
              <w:left w:val="single" w:sz="12" w:space="0" w:color="auto"/>
              <w:bottom w:val="single" w:sz="12" w:space="0" w:color="000000"/>
              <w:right w:val="single" w:sz="12" w:space="0" w:color="000000"/>
            </w:tcBorders>
            <w:shd w:val="clear" w:color="000000" w:fill="D9E1F2"/>
            <w:noWrap/>
            <w:vAlign w:val="center"/>
            <w:hideMark/>
          </w:tcPr>
          <w:p w:rsidR="00DA3EE3" w:rsidRPr="00DA3EE3" w:rsidRDefault="00DA3EE3" w:rsidP="00DA3EE3">
            <w:pPr>
              <w:spacing w:after="0" w:line="240" w:lineRule="auto"/>
              <w:jc w:val="center"/>
              <w:rPr>
                <w:rFonts w:ascii="Arial CE" w:eastAsia="Times New Roman" w:hAnsi="Arial CE" w:cs="Arial CE"/>
                <w:color w:val="000000"/>
                <w:sz w:val="36"/>
                <w:szCs w:val="36"/>
                <w:lang w:eastAsia="cs-CZ"/>
              </w:rPr>
            </w:pPr>
            <w:r w:rsidRPr="00DA3EE3">
              <w:rPr>
                <w:rFonts w:ascii="Arial CE" w:eastAsia="Times New Roman" w:hAnsi="Arial CE" w:cs="Arial CE"/>
                <w:color w:val="000000"/>
                <w:sz w:val="36"/>
                <w:szCs w:val="36"/>
                <w:lang w:eastAsia="cs-CZ"/>
              </w:rPr>
              <w:t>projekty</w:t>
            </w:r>
          </w:p>
        </w:tc>
        <w:tc>
          <w:tcPr>
            <w:tcW w:w="2817" w:type="dxa"/>
            <w:vMerge w:val="restart"/>
            <w:tcBorders>
              <w:top w:val="nil"/>
              <w:left w:val="single" w:sz="12" w:space="0" w:color="auto"/>
              <w:bottom w:val="single" w:sz="4" w:space="0" w:color="000000"/>
              <w:right w:val="single" w:sz="4" w:space="0" w:color="auto"/>
            </w:tcBorders>
            <w:shd w:val="clear" w:color="auto" w:fill="auto"/>
            <w:noWrap/>
            <w:vAlign w:val="center"/>
            <w:hideMark/>
          </w:tcPr>
          <w:p w:rsidR="00DA3EE3" w:rsidRPr="00DA3EE3" w:rsidRDefault="00DA3EE3" w:rsidP="00DA3EE3">
            <w:pPr>
              <w:spacing w:after="0" w:line="240" w:lineRule="auto"/>
              <w:jc w:val="right"/>
              <w:rPr>
                <w:rFonts w:ascii="Arial CE" w:eastAsia="Times New Roman" w:hAnsi="Arial CE" w:cs="Arial CE"/>
                <w:color w:val="000000"/>
                <w:sz w:val="16"/>
                <w:szCs w:val="16"/>
                <w:lang w:eastAsia="cs-CZ"/>
              </w:rPr>
            </w:pPr>
            <w:r w:rsidRPr="00DA3EE3">
              <w:rPr>
                <w:rFonts w:ascii="Arial CE" w:eastAsia="Times New Roman" w:hAnsi="Arial CE" w:cs="Arial CE"/>
                <w:color w:val="000000"/>
                <w:sz w:val="16"/>
                <w:szCs w:val="16"/>
                <w:lang w:eastAsia="cs-CZ"/>
              </w:rPr>
              <w:t xml:space="preserve">Dokumentace/část: </w:t>
            </w:r>
          </w:p>
        </w:tc>
        <w:tc>
          <w:tcPr>
            <w:tcW w:w="362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A3EE3" w:rsidRPr="00DA3EE3" w:rsidRDefault="00DA3EE3" w:rsidP="00DA3EE3">
            <w:pPr>
              <w:spacing w:after="0" w:line="240" w:lineRule="auto"/>
              <w:jc w:val="center"/>
              <w:rPr>
                <w:rFonts w:ascii="Arial CE" w:eastAsia="Times New Roman" w:hAnsi="Arial CE" w:cs="Arial CE"/>
                <w:color w:val="000000"/>
                <w:sz w:val="20"/>
                <w:szCs w:val="20"/>
                <w:lang w:eastAsia="cs-CZ"/>
              </w:rPr>
            </w:pPr>
            <w:r w:rsidRPr="00DA3EE3">
              <w:rPr>
                <w:rFonts w:ascii="Arial CE" w:eastAsia="Times New Roman" w:hAnsi="Arial CE" w:cs="Arial CE"/>
                <w:color w:val="000000"/>
                <w:sz w:val="20"/>
                <w:szCs w:val="20"/>
                <w:lang w:eastAsia="cs-CZ"/>
              </w:rPr>
              <w:t>Dokumentace ke stavebnímu řízení jednostupňová</w:t>
            </w:r>
          </w:p>
        </w:tc>
        <w:tc>
          <w:tcPr>
            <w:tcW w:w="830" w:type="dxa"/>
            <w:tcBorders>
              <w:top w:val="nil"/>
              <w:left w:val="nil"/>
              <w:bottom w:val="single" w:sz="4" w:space="0" w:color="auto"/>
              <w:right w:val="single" w:sz="4" w:space="0" w:color="auto"/>
            </w:tcBorders>
            <w:shd w:val="clear" w:color="auto" w:fill="auto"/>
            <w:noWrap/>
            <w:vAlign w:val="center"/>
            <w:hideMark/>
          </w:tcPr>
          <w:p w:rsidR="00DA3EE3" w:rsidRPr="00DA3EE3" w:rsidRDefault="00DA3EE3" w:rsidP="00DA3EE3">
            <w:pPr>
              <w:spacing w:after="0" w:line="240" w:lineRule="auto"/>
              <w:jc w:val="right"/>
              <w:rPr>
                <w:rFonts w:ascii="Arial CE" w:eastAsia="Times New Roman" w:hAnsi="Arial CE" w:cs="Arial CE"/>
                <w:sz w:val="16"/>
                <w:szCs w:val="16"/>
                <w:lang w:eastAsia="cs-CZ"/>
              </w:rPr>
            </w:pPr>
            <w:r w:rsidRPr="00DA3EE3">
              <w:rPr>
                <w:rFonts w:ascii="Arial CE" w:eastAsia="Times New Roman" w:hAnsi="Arial CE" w:cs="Arial CE"/>
                <w:sz w:val="16"/>
                <w:szCs w:val="16"/>
                <w:lang w:eastAsia="cs-CZ"/>
              </w:rPr>
              <w:t xml:space="preserve">Formát: </w:t>
            </w:r>
          </w:p>
        </w:tc>
        <w:tc>
          <w:tcPr>
            <w:tcW w:w="852" w:type="dxa"/>
            <w:tcBorders>
              <w:top w:val="nil"/>
              <w:left w:val="nil"/>
              <w:bottom w:val="single" w:sz="4" w:space="0" w:color="auto"/>
              <w:right w:val="single" w:sz="4" w:space="0" w:color="auto"/>
            </w:tcBorders>
            <w:shd w:val="clear" w:color="auto" w:fill="auto"/>
            <w:noWrap/>
            <w:vAlign w:val="center"/>
            <w:hideMark/>
          </w:tcPr>
          <w:p w:rsidR="00DA3EE3" w:rsidRPr="00DA3EE3" w:rsidRDefault="00DA3EE3" w:rsidP="00DA3EE3">
            <w:pPr>
              <w:spacing w:after="0" w:line="240" w:lineRule="auto"/>
              <w:jc w:val="center"/>
              <w:rPr>
                <w:rFonts w:ascii="Arial CE" w:eastAsia="Times New Roman" w:hAnsi="Arial CE" w:cs="Arial CE"/>
                <w:sz w:val="16"/>
                <w:szCs w:val="16"/>
                <w:lang w:eastAsia="cs-CZ"/>
              </w:rPr>
            </w:pPr>
            <w:r w:rsidRPr="00DA3EE3">
              <w:rPr>
                <w:rFonts w:ascii="Arial CE" w:eastAsia="Times New Roman" w:hAnsi="Arial CE" w:cs="Arial CE"/>
                <w:sz w:val="16"/>
                <w:szCs w:val="16"/>
                <w:lang w:eastAsia="cs-CZ"/>
              </w:rPr>
              <w:t>0</w:t>
            </w:r>
          </w:p>
        </w:tc>
      </w:tr>
      <w:tr w:rsidR="00DA3EE3" w:rsidRPr="00DA3EE3" w:rsidTr="00DA3EE3">
        <w:trPr>
          <w:trHeight w:val="414"/>
        </w:trPr>
        <w:tc>
          <w:tcPr>
            <w:tcW w:w="1580" w:type="dxa"/>
            <w:vMerge/>
            <w:tcBorders>
              <w:top w:val="single" w:sz="4" w:space="0" w:color="auto"/>
              <w:left w:val="single" w:sz="12" w:space="0" w:color="auto"/>
              <w:bottom w:val="single" w:sz="12" w:space="0" w:color="000000"/>
              <w:right w:val="single" w:sz="12" w:space="0" w:color="000000"/>
            </w:tcBorders>
            <w:vAlign w:val="center"/>
            <w:hideMark/>
          </w:tcPr>
          <w:p w:rsidR="00DA3EE3" w:rsidRPr="00DA3EE3" w:rsidRDefault="00DA3EE3" w:rsidP="00DA3EE3">
            <w:pPr>
              <w:spacing w:after="0" w:line="240" w:lineRule="auto"/>
              <w:rPr>
                <w:rFonts w:ascii="Arial CE" w:eastAsia="Times New Roman" w:hAnsi="Arial CE" w:cs="Arial CE"/>
                <w:color w:val="000000"/>
                <w:sz w:val="36"/>
                <w:szCs w:val="36"/>
                <w:lang w:eastAsia="cs-CZ"/>
              </w:rPr>
            </w:pPr>
          </w:p>
        </w:tc>
        <w:tc>
          <w:tcPr>
            <w:tcW w:w="2817" w:type="dxa"/>
            <w:vMerge/>
            <w:tcBorders>
              <w:top w:val="nil"/>
              <w:left w:val="single" w:sz="12" w:space="0" w:color="auto"/>
              <w:bottom w:val="single" w:sz="4" w:space="0" w:color="000000"/>
              <w:right w:val="single" w:sz="4" w:space="0" w:color="auto"/>
            </w:tcBorders>
            <w:vAlign w:val="center"/>
            <w:hideMark/>
          </w:tcPr>
          <w:p w:rsidR="00DA3EE3" w:rsidRPr="00DA3EE3" w:rsidRDefault="00DA3EE3" w:rsidP="00DA3EE3">
            <w:pPr>
              <w:spacing w:after="0" w:line="240" w:lineRule="auto"/>
              <w:rPr>
                <w:rFonts w:ascii="Arial CE" w:eastAsia="Times New Roman" w:hAnsi="Arial CE" w:cs="Arial CE"/>
                <w:color w:val="000000"/>
                <w:sz w:val="16"/>
                <w:szCs w:val="16"/>
                <w:lang w:eastAsia="cs-CZ"/>
              </w:rPr>
            </w:pPr>
          </w:p>
        </w:tc>
        <w:tc>
          <w:tcPr>
            <w:tcW w:w="3626" w:type="dxa"/>
            <w:gridSpan w:val="2"/>
            <w:vMerge/>
            <w:tcBorders>
              <w:top w:val="single" w:sz="4" w:space="0" w:color="auto"/>
              <w:left w:val="single" w:sz="4" w:space="0" w:color="auto"/>
              <w:bottom w:val="single" w:sz="4" w:space="0" w:color="000000"/>
              <w:right w:val="single" w:sz="4" w:space="0" w:color="000000"/>
            </w:tcBorders>
            <w:vAlign w:val="center"/>
            <w:hideMark/>
          </w:tcPr>
          <w:p w:rsidR="00DA3EE3" w:rsidRPr="00DA3EE3" w:rsidRDefault="00DA3EE3" w:rsidP="00DA3EE3">
            <w:pPr>
              <w:spacing w:after="0" w:line="240" w:lineRule="auto"/>
              <w:rPr>
                <w:rFonts w:ascii="Arial CE" w:eastAsia="Times New Roman" w:hAnsi="Arial CE" w:cs="Arial CE"/>
                <w:color w:val="000000"/>
                <w:sz w:val="20"/>
                <w:szCs w:val="20"/>
                <w:lang w:eastAsia="cs-CZ"/>
              </w:rPr>
            </w:pPr>
          </w:p>
        </w:tc>
        <w:tc>
          <w:tcPr>
            <w:tcW w:w="1682"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DA3EE3" w:rsidRPr="00DA3EE3" w:rsidRDefault="00DA3EE3" w:rsidP="00DA3EE3">
            <w:pPr>
              <w:spacing w:after="0" w:line="240" w:lineRule="auto"/>
              <w:jc w:val="center"/>
              <w:rPr>
                <w:rFonts w:ascii="Arial CE" w:eastAsia="Times New Roman" w:hAnsi="Arial CE" w:cs="Arial CE"/>
                <w:sz w:val="56"/>
                <w:szCs w:val="56"/>
                <w:lang w:eastAsia="cs-CZ"/>
              </w:rPr>
            </w:pPr>
            <w:r w:rsidRPr="00DA3EE3">
              <w:rPr>
                <w:rFonts w:ascii="Arial CE" w:eastAsia="Times New Roman" w:hAnsi="Arial CE" w:cs="Arial CE"/>
                <w:sz w:val="56"/>
                <w:szCs w:val="56"/>
                <w:lang w:eastAsia="cs-CZ"/>
              </w:rPr>
              <w:t>B</w:t>
            </w:r>
          </w:p>
        </w:tc>
      </w:tr>
      <w:tr w:rsidR="00DA3EE3" w:rsidRPr="00DA3EE3" w:rsidTr="00DA3EE3">
        <w:trPr>
          <w:trHeight w:val="600"/>
        </w:trPr>
        <w:tc>
          <w:tcPr>
            <w:tcW w:w="1580" w:type="dxa"/>
            <w:tcBorders>
              <w:top w:val="nil"/>
              <w:left w:val="single" w:sz="4" w:space="0" w:color="auto"/>
              <w:bottom w:val="single" w:sz="4" w:space="0" w:color="auto"/>
              <w:right w:val="single" w:sz="4" w:space="0" w:color="auto"/>
            </w:tcBorders>
            <w:shd w:val="clear" w:color="auto" w:fill="auto"/>
            <w:noWrap/>
            <w:vAlign w:val="bottom"/>
            <w:hideMark/>
          </w:tcPr>
          <w:p w:rsidR="00DA3EE3" w:rsidRPr="00DA3EE3" w:rsidRDefault="00DA3EE3" w:rsidP="00DA3EE3">
            <w:pPr>
              <w:spacing w:after="0" w:line="240" w:lineRule="auto"/>
              <w:rPr>
                <w:rFonts w:ascii="Arial CE" w:eastAsia="Times New Roman" w:hAnsi="Arial CE" w:cs="Arial CE"/>
                <w:color w:val="000000"/>
                <w:sz w:val="16"/>
                <w:szCs w:val="16"/>
                <w:lang w:eastAsia="cs-CZ"/>
              </w:rPr>
            </w:pPr>
            <w:r w:rsidRPr="00DA3EE3">
              <w:rPr>
                <w:rFonts w:ascii="Arial CE" w:eastAsia="Times New Roman" w:hAnsi="Arial CE" w:cs="Arial CE"/>
                <w:color w:val="000000"/>
                <w:sz w:val="16"/>
                <w:szCs w:val="16"/>
                <w:lang w:eastAsia="cs-CZ"/>
              </w:rPr>
              <w:t> </w:t>
            </w:r>
          </w:p>
        </w:tc>
        <w:tc>
          <w:tcPr>
            <w:tcW w:w="6443" w:type="dxa"/>
            <w:gridSpan w:val="3"/>
            <w:tcBorders>
              <w:top w:val="nil"/>
              <w:left w:val="nil"/>
              <w:bottom w:val="single" w:sz="4" w:space="0" w:color="auto"/>
              <w:right w:val="single" w:sz="4" w:space="0" w:color="000000"/>
            </w:tcBorders>
            <w:shd w:val="clear" w:color="auto" w:fill="auto"/>
            <w:noWrap/>
            <w:vAlign w:val="center"/>
            <w:hideMark/>
          </w:tcPr>
          <w:p w:rsidR="00DA3EE3" w:rsidRPr="00DA3EE3" w:rsidRDefault="00DA3EE3" w:rsidP="00DA3EE3">
            <w:pPr>
              <w:spacing w:after="0" w:line="240" w:lineRule="auto"/>
              <w:jc w:val="center"/>
              <w:rPr>
                <w:rFonts w:ascii="Arial CE" w:eastAsia="Times New Roman" w:hAnsi="Arial CE" w:cs="Arial CE"/>
                <w:sz w:val="20"/>
                <w:szCs w:val="20"/>
                <w:lang w:eastAsia="cs-CZ"/>
              </w:rPr>
            </w:pPr>
            <w:r w:rsidRPr="00DA3EE3">
              <w:rPr>
                <w:rFonts w:ascii="Arial CE" w:eastAsia="Times New Roman" w:hAnsi="Arial CE" w:cs="Arial CE"/>
                <w:sz w:val="20"/>
                <w:szCs w:val="20"/>
                <w:lang w:eastAsia="cs-CZ"/>
              </w:rPr>
              <w:t>Souhrnná technická zpráva</w:t>
            </w:r>
          </w:p>
        </w:tc>
        <w:tc>
          <w:tcPr>
            <w:tcW w:w="1682" w:type="dxa"/>
            <w:gridSpan w:val="2"/>
            <w:vMerge/>
            <w:tcBorders>
              <w:top w:val="single" w:sz="4" w:space="0" w:color="auto"/>
              <w:left w:val="single" w:sz="4" w:space="0" w:color="auto"/>
              <w:bottom w:val="single" w:sz="4" w:space="0" w:color="000000"/>
              <w:right w:val="single" w:sz="4" w:space="0" w:color="000000"/>
            </w:tcBorders>
            <w:vAlign w:val="center"/>
            <w:hideMark/>
          </w:tcPr>
          <w:p w:rsidR="00DA3EE3" w:rsidRPr="00DA3EE3" w:rsidRDefault="00DA3EE3" w:rsidP="00DA3EE3">
            <w:pPr>
              <w:spacing w:after="0" w:line="240" w:lineRule="auto"/>
              <w:rPr>
                <w:rFonts w:ascii="Arial CE" w:eastAsia="Times New Roman" w:hAnsi="Arial CE" w:cs="Arial CE"/>
                <w:sz w:val="56"/>
                <w:szCs w:val="56"/>
                <w:lang w:eastAsia="cs-CZ"/>
              </w:rPr>
            </w:pPr>
          </w:p>
        </w:tc>
      </w:tr>
    </w:tbl>
    <w:p w:rsidR="00DA3EE3" w:rsidRDefault="00DA3EE3"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2E3C59" w:rsidRPr="00D2090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color w:val="000000"/>
          <w:sz w:val="24"/>
          <w:szCs w:val="24"/>
          <w:lang w:eastAsia="cs-CZ"/>
        </w:rPr>
        <w:t>B Souhrnná technická zpráva</w:t>
      </w:r>
    </w:p>
    <w:p w:rsidR="002E3C59" w:rsidRPr="00D2090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20909">
        <w:rPr>
          <w:rFonts w:ascii="Times New Roman" w:eastAsia="Times New Roman" w:hAnsi="Times New Roman" w:cs="Times New Roman"/>
          <w:color w:val="000000"/>
          <w:sz w:val="24"/>
          <w:szCs w:val="24"/>
          <w:lang w:eastAsia="cs-CZ"/>
        </w:rPr>
        <w:t>B.1 Popis</w:t>
      </w:r>
      <w:proofErr w:type="gramEnd"/>
      <w:r w:rsidRPr="00D20909">
        <w:rPr>
          <w:rFonts w:ascii="Times New Roman" w:eastAsia="Times New Roman" w:hAnsi="Times New Roman" w:cs="Times New Roman"/>
          <w:color w:val="000000"/>
          <w:sz w:val="24"/>
          <w:szCs w:val="24"/>
          <w:lang w:eastAsia="cs-CZ"/>
        </w:rPr>
        <w:t xml:space="preserve"> území stavby</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a)</w:t>
      </w:r>
      <w:r w:rsidRPr="00D20909">
        <w:rPr>
          <w:rFonts w:ascii="Times New Roman" w:eastAsia="Times New Roman" w:hAnsi="Times New Roman" w:cs="Times New Roman"/>
          <w:color w:val="000000"/>
          <w:sz w:val="24"/>
          <w:szCs w:val="24"/>
          <w:lang w:eastAsia="cs-CZ"/>
        </w:rPr>
        <w:t> charakteristika území a stavebního pozemku, zastavěné území a nezastavěné území, soulad navrhované stavby s charakterem území, dosavadní využití a zastavěnost území,</w:t>
      </w:r>
    </w:p>
    <w:p w:rsidR="002E3C59" w:rsidRDefault="002E3C59" w:rsidP="0073278D">
      <w:pPr>
        <w:pStyle w:val="4993uroven"/>
        <w:ind w:left="0" w:firstLine="0"/>
        <w:jc w:val="both"/>
        <w:rPr>
          <w:rFonts w:ascii="Times New Roman" w:hAnsi="Times New Roman" w:cs="Times New Roman"/>
          <w:b/>
          <w:i/>
          <w:color w:val="auto"/>
          <w:sz w:val="24"/>
          <w:szCs w:val="24"/>
        </w:rPr>
      </w:pPr>
      <w:r w:rsidRPr="008210E3">
        <w:rPr>
          <w:rFonts w:ascii="Times New Roman" w:hAnsi="Times New Roman" w:cs="Times New Roman"/>
          <w:b/>
          <w:i/>
          <w:color w:val="auto"/>
          <w:sz w:val="24"/>
          <w:szCs w:val="24"/>
        </w:rPr>
        <w:t>Jedná se o zastavěné území v</w:t>
      </w:r>
      <w:r w:rsidR="00D4443F">
        <w:rPr>
          <w:rFonts w:ascii="Times New Roman" w:hAnsi="Times New Roman" w:cs="Times New Roman"/>
          <w:b/>
          <w:i/>
          <w:color w:val="auto"/>
          <w:sz w:val="24"/>
          <w:szCs w:val="24"/>
        </w:rPr>
        <w:t> </w:t>
      </w:r>
      <w:proofErr w:type="gramStart"/>
      <w:r w:rsidR="00D4443F">
        <w:rPr>
          <w:rFonts w:ascii="Times New Roman" w:hAnsi="Times New Roman" w:cs="Times New Roman"/>
          <w:b/>
          <w:i/>
          <w:color w:val="auto"/>
          <w:sz w:val="24"/>
          <w:szCs w:val="24"/>
        </w:rPr>
        <w:t>města</w:t>
      </w:r>
      <w:proofErr w:type="gramEnd"/>
      <w:r w:rsidR="00D4443F">
        <w:rPr>
          <w:rFonts w:ascii="Times New Roman" w:hAnsi="Times New Roman" w:cs="Times New Roman"/>
          <w:b/>
          <w:i/>
          <w:color w:val="auto"/>
          <w:sz w:val="24"/>
          <w:szCs w:val="24"/>
        </w:rPr>
        <w:t xml:space="preserve"> Nejdek</w:t>
      </w:r>
      <w:r w:rsidRPr="008210E3">
        <w:rPr>
          <w:rFonts w:ascii="Times New Roman" w:hAnsi="Times New Roman" w:cs="Times New Roman"/>
          <w:b/>
          <w:i/>
          <w:color w:val="auto"/>
          <w:sz w:val="24"/>
          <w:szCs w:val="24"/>
        </w:rPr>
        <w:t>.</w:t>
      </w:r>
      <w:r>
        <w:rPr>
          <w:rFonts w:ascii="Times New Roman" w:eastAsia="Times New Roman" w:hAnsi="Times New Roman" w:cs="Times New Roman"/>
          <w:sz w:val="24"/>
          <w:szCs w:val="24"/>
          <w:lang w:eastAsia="cs-CZ"/>
        </w:rPr>
        <w:t xml:space="preserve"> </w:t>
      </w:r>
      <w:r w:rsidRPr="00D62473">
        <w:rPr>
          <w:rFonts w:ascii="Times New Roman" w:hAnsi="Times New Roman" w:cs="Times New Roman"/>
          <w:b/>
          <w:i/>
          <w:color w:val="auto"/>
          <w:sz w:val="24"/>
          <w:szCs w:val="24"/>
        </w:rPr>
        <w:t xml:space="preserve">Jedná se o </w:t>
      </w:r>
      <w:r w:rsidR="00160A1D">
        <w:rPr>
          <w:rFonts w:ascii="Times New Roman" w:hAnsi="Times New Roman" w:cs="Times New Roman"/>
          <w:b/>
          <w:i/>
          <w:color w:val="auto"/>
          <w:sz w:val="24"/>
          <w:szCs w:val="24"/>
        </w:rPr>
        <w:t>příměstskou část města s rozptýlenou zástavbou</w:t>
      </w:r>
      <w:r>
        <w:rPr>
          <w:rFonts w:ascii="Times New Roman" w:hAnsi="Times New Roman" w:cs="Times New Roman"/>
          <w:b/>
          <w:i/>
          <w:color w:val="auto"/>
          <w:sz w:val="24"/>
          <w:szCs w:val="24"/>
        </w:rPr>
        <w:t xml:space="preserve"> </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b)</w:t>
      </w:r>
      <w:r w:rsidRPr="00D20909">
        <w:rPr>
          <w:rFonts w:ascii="Times New Roman" w:eastAsia="Times New Roman" w:hAnsi="Times New Roman" w:cs="Times New Roman"/>
          <w:color w:val="000000"/>
          <w:sz w:val="24"/>
          <w:szCs w:val="24"/>
          <w:lang w:eastAsia="cs-CZ"/>
        </w:rPr>
        <w:t> údaje o souladu s územně plánovací dokumentací, s cíli a úkoly územního plánování, včetně informace o vydané územně plánovací dokumentaci,</w:t>
      </w:r>
    </w:p>
    <w:p w:rsidR="002E3C59" w:rsidRPr="008D1577" w:rsidRDefault="002E3C59" w:rsidP="002E3C59">
      <w:pPr>
        <w:shd w:val="clear" w:color="auto" w:fill="FFFFFF"/>
        <w:spacing w:after="0" w:line="240" w:lineRule="auto"/>
        <w:jc w:val="both"/>
        <w:rPr>
          <w:rFonts w:ascii="Times New Roman" w:hAnsi="Times New Roman" w:cs="Times New Roman"/>
          <w:b/>
          <w:i/>
          <w:sz w:val="24"/>
          <w:szCs w:val="24"/>
        </w:rPr>
      </w:pPr>
      <w:r w:rsidRPr="008D1577">
        <w:rPr>
          <w:rFonts w:ascii="Times New Roman" w:hAnsi="Times New Roman" w:cs="Times New Roman"/>
          <w:b/>
          <w:i/>
          <w:sz w:val="24"/>
          <w:szCs w:val="24"/>
        </w:rPr>
        <w:t>Stavba je v souladu s územně plánovací dokumentací</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c)</w:t>
      </w:r>
      <w:r w:rsidRPr="00D20909">
        <w:rPr>
          <w:rFonts w:ascii="Times New Roman" w:eastAsia="Times New Roman" w:hAnsi="Times New Roman" w:cs="Times New Roman"/>
          <w:color w:val="000000"/>
          <w:sz w:val="24"/>
          <w:szCs w:val="24"/>
          <w:lang w:eastAsia="cs-CZ"/>
        </w:rPr>
        <w:t> geologická, geomorfologická a hydrogeologická charakteristika, včetně zdrojů nerostů a podzemních vod,</w:t>
      </w:r>
    </w:p>
    <w:p w:rsidR="002E3C59" w:rsidRPr="008D1577" w:rsidRDefault="002E3C59" w:rsidP="002E3C59">
      <w:pPr>
        <w:shd w:val="clear" w:color="auto" w:fill="FFFFFF"/>
        <w:spacing w:after="0" w:line="240" w:lineRule="auto"/>
        <w:jc w:val="both"/>
        <w:rPr>
          <w:rFonts w:ascii="Times New Roman" w:hAnsi="Times New Roman" w:cs="Times New Roman"/>
          <w:b/>
          <w:i/>
          <w:sz w:val="24"/>
          <w:szCs w:val="24"/>
        </w:rPr>
      </w:pPr>
      <w:r w:rsidRPr="008D1577">
        <w:rPr>
          <w:rFonts w:ascii="Times New Roman" w:hAnsi="Times New Roman" w:cs="Times New Roman"/>
          <w:b/>
          <w:i/>
          <w:sz w:val="24"/>
          <w:szCs w:val="24"/>
        </w:rPr>
        <w:t>Netýká se této stavby</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d)</w:t>
      </w:r>
      <w:r w:rsidRPr="00D20909">
        <w:rPr>
          <w:rFonts w:ascii="Times New Roman" w:eastAsia="Times New Roman" w:hAnsi="Times New Roman" w:cs="Times New Roman"/>
          <w:color w:val="000000"/>
          <w:sz w:val="24"/>
          <w:szCs w:val="24"/>
          <w:lang w:eastAsia="cs-CZ"/>
        </w:rPr>
        <w:t> výčet a závěry provedených průzkumů a měření - geotechnický průzkum, hydrogeologický průzkum, korozní průzkum, geotechnický průzkum materiálových nalezišť (zemníků), stavebně historický průzkum apod.,</w:t>
      </w:r>
    </w:p>
    <w:p w:rsidR="002E3C59" w:rsidRPr="0073278D" w:rsidRDefault="0073278D" w:rsidP="002E3C59">
      <w:pPr>
        <w:shd w:val="clear" w:color="auto" w:fill="FFFFFF"/>
        <w:spacing w:after="0" w:line="240" w:lineRule="auto"/>
        <w:jc w:val="both"/>
        <w:rPr>
          <w:rFonts w:ascii="Times New Roman" w:hAnsi="Times New Roman" w:cs="Times New Roman"/>
          <w:b/>
          <w:i/>
          <w:sz w:val="24"/>
          <w:szCs w:val="24"/>
        </w:rPr>
      </w:pPr>
      <w:r w:rsidRPr="0073278D">
        <w:rPr>
          <w:rFonts w:ascii="Times New Roman" w:hAnsi="Times New Roman" w:cs="Times New Roman"/>
          <w:b/>
          <w:i/>
          <w:sz w:val="24"/>
          <w:szCs w:val="24"/>
        </w:rPr>
        <w:t>Lokalita byla geodeticky zaměřena. Toto zaměření bylo podkladem pro projektové práce</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e)</w:t>
      </w:r>
      <w:r w:rsidRPr="00D20909">
        <w:rPr>
          <w:rFonts w:ascii="Times New Roman" w:eastAsia="Times New Roman" w:hAnsi="Times New Roman" w:cs="Times New Roman"/>
          <w:color w:val="000000"/>
          <w:sz w:val="24"/>
          <w:szCs w:val="24"/>
          <w:lang w:eastAsia="cs-CZ"/>
        </w:rPr>
        <w:t> ochrana území podle jiných právních předpisů</w:t>
      </w:r>
      <w:r w:rsidRPr="00D20909">
        <w:rPr>
          <w:rFonts w:ascii="Times New Roman" w:eastAsia="Times New Roman" w:hAnsi="Times New Roman" w:cs="Times New Roman"/>
          <w:color w:val="000000"/>
          <w:sz w:val="24"/>
          <w:szCs w:val="24"/>
          <w:vertAlign w:val="superscript"/>
          <w:lang w:eastAsia="cs-CZ"/>
        </w:rPr>
        <w:t>1</w:t>
      </w:r>
      <w:r w:rsidRPr="00D20909">
        <w:rPr>
          <w:rFonts w:ascii="Times New Roman" w:eastAsia="Times New Roman" w:hAnsi="Times New Roman" w:cs="Times New Roman"/>
          <w:color w:val="000000"/>
          <w:sz w:val="24"/>
          <w:szCs w:val="24"/>
          <w:lang w:eastAsia="cs-CZ"/>
        </w:rPr>
        <w:t>),</w:t>
      </w:r>
    </w:p>
    <w:p w:rsidR="002E3C59" w:rsidRPr="00D07D33" w:rsidRDefault="00160A1D" w:rsidP="002E3C59">
      <w:pPr>
        <w:shd w:val="clear" w:color="auto" w:fill="FFFFFF"/>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Toto území nepožívá žádné zvláštní ochrany</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f)</w:t>
      </w:r>
      <w:r w:rsidRPr="00D20909">
        <w:rPr>
          <w:rFonts w:ascii="Times New Roman" w:eastAsia="Times New Roman" w:hAnsi="Times New Roman" w:cs="Times New Roman"/>
          <w:color w:val="000000"/>
          <w:sz w:val="24"/>
          <w:szCs w:val="24"/>
          <w:lang w:eastAsia="cs-CZ"/>
        </w:rPr>
        <w:t> poloha vzhledem k záplavovému území, poddolovanému území apod.,</w:t>
      </w:r>
    </w:p>
    <w:p w:rsidR="002E3C59" w:rsidRPr="00D07D33" w:rsidRDefault="002E3C59" w:rsidP="002E3C59">
      <w:pPr>
        <w:shd w:val="clear" w:color="auto" w:fill="FFFFFF"/>
        <w:spacing w:after="0" w:line="240" w:lineRule="auto"/>
        <w:jc w:val="both"/>
        <w:rPr>
          <w:rFonts w:ascii="Times New Roman" w:hAnsi="Times New Roman" w:cs="Times New Roman"/>
          <w:b/>
          <w:i/>
          <w:sz w:val="24"/>
          <w:szCs w:val="24"/>
        </w:rPr>
      </w:pPr>
      <w:r w:rsidRPr="00D07D33">
        <w:rPr>
          <w:rFonts w:ascii="Times New Roman" w:hAnsi="Times New Roman" w:cs="Times New Roman"/>
          <w:b/>
          <w:i/>
          <w:sz w:val="24"/>
          <w:szCs w:val="24"/>
        </w:rPr>
        <w:t>Netýká se této stavby</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g)</w:t>
      </w:r>
      <w:r w:rsidRPr="00D20909">
        <w:rPr>
          <w:rFonts w:ascii="Times New Roman" w:eastAsia="Times New Roman" w:hAnsi="Times New Roman" w:cs="Times New Roman"/>
          <w:color w:val="000000"/>
          <w:sz w:val="24"/>
          <w:szCs w:val="24"/>
          <w:lang w:eastAsia="cs-CZ"/>
        </w:rPr>
        <w:t> vliv stavby na okolní stavby a pozemky, ochrana okolí, vliv stavby na odtokové poměry v území,</w:t>
      </w:r>
    </w:p>
    <w:p w:rsidR="00160A1D" w:rsidRDefault="002E3C59" w:rsidP="002E3C59">
      <w:pPr>
        <w:shd w:val="clear" w:color="auto" w:fill="FFFFFF"/>
        <w:spacing w:after="0" w:line="240" w:lineRule="auto"/>
        <w:jc w:val="both"/>
        <w:rPr>
          <w:rFonts w:ascii="Times New Roman" w:hAnsi="Times New Roman" w:cs="Times New Roman"/>
          <w:b/>
          <w:i/>
          <w:sz w:val="24"/>
          <w:szCs w:val="24"/>
        </w:rPr>
      </w:pPr>
      <w:r w:rsidRPr="00114BB8">
        <w:rPr>
          <w:rFonts w:ascii="Times New Roman" w:hAnsi="Times New Roman" w:cs="Times New Roman"/>
          <w:b/>
          <w:i/>
          <w:sz w:val="24"/>
          <w:szCs w:val="24"/>
        </w:rPr>
        <w:t>Stavba respektuje stávající výškové a šířkové poměry stávající komunikac</w:t>
      </w:r>
      <w:r w:rsidR="0073278D">
        <w:rPr>
          <w:rFonts w:ascii="Times New Roman" w:hAnsi="Times New Roman" w:cs="Times New Roman"/>
          <w:b/>
          <w:i/>
          <w:sz w:val="24"/>
          <w:szCs w:val="24"/>
        </w:rPr>
        <w:t>e</w:t>
      </w:r>
      <w:r w:rsidRPr="00114BB8">
        <w:rPr>
          <w:rFonts w:ascii="Times New Roman" w:hAnsi="Times New Roman" w:cs="Times New Roman"/>
          <w:b/>
          <w:i/>
          <w:sz w:val="24"/>
          <w:szCs w:val="24"/>
        </w:rPr>
        <w:t xml:space="preserve"> </w:t>
      </w:r>
      <w:r w:rsidR="0073278D">
        <w:rPr>
          <w:rFonts w:ascii="Times New Roman" w:hAnsi="Times New Roman" w:cs="Times New Roman"/>
          <w:b/>
          <w:i/>
          <w:sz w:val="24"/>
          <w:szCs w:val="24"/>
        </w:rPr>
        <w:t xml:space="preserve">na, kterou se napojuje, </w:t>
      </w:r>
      <w:r>
        <w:rPr>
          <w:rFonts w:ascii="Times New Roman" w:hAnsi="Times New Roman" w:cs="Times New Roman"/>
          <w:b/>
          <w:i/>
          <w:sz w:val="24"/>
          <w:szCs w:val="24"/>
        </w:rPr>
        <w:t xml:space="preserve">Veškeré dešťové vody budou likvidovány přelivem do okolních travnatých </w:t>
      </w:r>
      <w:r w:rsidR="00160A1D">
        <w:rPr>
          <w:rFonts w:ascii="Times New Roman" w:hAnsi="Times New Roman" w:cs="Times New Roman"/>
          <w:b/>
          <w:i/>
          <w:sz w:val="24"/>
          <w:szCs w:val="24"/>
        </w:rPr>
        <w:t xml:space="preserve">a zpevněných </w:t>
      </w:r>
      <w:r>
        <w:rPr>
          <w:rFonts w:ascii="Times New Roman" w:hAnsi="Times New Roman" w:cs="Times New Roman"/>
          <w:b/>
          <w:i/>
          <w:sz w:val="24"/>
          <w:szCs w:val="24"/>
        </w:rPr>
        <w:t xml:space="preserve">ploch. </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h)</w:t>
      </w:r>
      <w:r w:rsidRPr="00D20909">
        <w:rPr>
          <w:rFonts w:ascii="Times New Roman" w:eastAsia="Times New Roman" w:hAnsi="Times New Roman" w:cs="Times New Roman"/>
          <w:color w:val="000000"/>
          <w:sz w:val="24"/>
          <w:szCs w:val="24"/>
          <w:lang w:eastAsia="cs-CZ"/>
        </w:rPr>
        <w:t> požadavky na asanace, demolice, kácení dřevin,</w:t>
      </w:r>
    </w:p>
    <w:p w:rsidR="002E3C59" w:rsidRPr="008D1577" w:rsidRDefault="00160A1D" w:rsidP="002E3C59">
      <w:pPr>
        <w:shd w:val="clear" w:color="auto" w:fill="FFFFFF"/>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Stavba respektuje vzrostlou zeleň a nevyžaduje kácení. Vykácena bude pouze drobná náletová zeleň</w:t>
      </w:r>
      <w:r w:rsidR="008D24C9">
        <w:rPr>
          <w:rFonts w:ascii="Times New Roman" w:hAnsi="Times New Roman" w:cs="Times New Roman"/>
          <w:b/>
          <w:i/>
          <w:sz w:val="24"/>
          <w:szCs w:val="24"/>
        </w:rPr>
        <w:t xml:space="preserve">, která dnes roste v silničním příkopu (průměr </w:t>
      </w:r>
      <w:proofErr w:type="spellStart"/>
      <w:r w:rsidR="008D24C9">
        <w:rPr>
          <w:rFonts w:ascii="Times New Roman" w:hAnsi="Times New Roman" w:cs="Times New Roman"/>
          <w:b/>
          <w:i/>
          <w:sz w:val="24"/>
          <w:szCs w:val="24"/>
        </w:rPr>
        <w:t>max</w:t>
      </w:r>
      <w:proofErr w:type="spellEnd"/>
      <w:r w:rsidR="008D24C9">
        <w:rPr>
          <w:rFonts w:ascii="Times New Roman" w:hAnsi="Times New Roman" w:cs="Times New Roman"/>
          <w:b/>
          <w:i/>
          <w:sz w:val="24"/>
          <w:szCs w:val="24"/>
        </w:rPr>
        <w:t xml:space="preserve"> 5 cm)</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i)</w:t>
      </w:r>
      <w:r w:rsidRPr="00D20909">
        <w:rPr>
          <w:rFonts w:ascii="Times New Roman" w:eastAsia="Times New Roman" w:hAnsi="Times New Roman" w:cs="Times New Roman"/>
          <w:color w:val="000000"/>
          <w:sz w:val="24"/>
          <w:szCs w:val="24"/>
          <w:lang w:eastAsia="cs-CZ"/>
        </w:rPr>
        <w:t> požadavky na maximální dočasné a trvalé zábory zemědělského půdního fondu nebo pozemků určených k plnění funkce lesa,</w:t>
      </w:r>
    </w:p>
    <w:p w:rsidR="00160A1D" w:rsidRPr="00D07D33" w:rsidRDefault="00160A1D" w:rsidP="00160A1D">
      <w:pPr>
        <w:shd w:val="clear" w:color="auto" w:fill="FFFFFF"/>
        <w:spacing w:after="0" w:line="240" w:lineRule="auto"/>
        <w:jc w:val="both"/>
        <w:rPr>
          <w:rFonts w:ascii="Times New Roman" w:hAnsi="Times New Roman" w:cs="Times New Roman"/>
          <w:b/>
          <w:i/>
          <w:sz w:val="24"/>
          <w:szCs w:val="24"/>
        </w:rPr>
      </w:pPr>
      <w:r w:rsidRPr="00D07D33">
        <w:rPr>
          <w:rFonts w:ascii="Times New Roman" w:hAnsi="Times New Roman" w:cs="Times New Roman"/>
          <w:b/>
          <w:i/>
          <w:sz w:val="24"/>
          <w:szCs w:val="24"/>
        </w:rPr>
        <w:t>Netýká se této stavby</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j)</w:t>
      </w:r>
      <w:r w:rsidRPr="00D20909">
        <w:rPr>
          <w:rFonts w:ascii="Times New Roman" w:eastAsia="Times New Roman" w:hAnsi="Times New Roman" w:cs="Times New Roman"/>
          <w:color w:val="000000"/>
          <w:sz w:val="24"/>
          <w:szCs w:val="24"/>
          <w:lang w:eastAsia="cs-CZ"/>
        </w:rPr>
        <w:t> územně technické podmínky - zejména možnost napojení na stávající dopravní a technickou infrastrukturu, možnost bezbariérového přístupu k navrhované stavbě,</w:t>
      </w:r>
    </w:p>
    <w:p w:rsidR="002E3C59" w:rsidRPr="00114BB8" w:rsidRDefault="002E3C59" w:rsidP="002E3C59">
      <w:pPr>
        <w:shd w:val="clear" w:color="auto" w:fill="FFFFFF"/>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Ú</w:t>
      </w:r>
      <w:r w:rsidRPr="00114BB8">
        <w:rPr>
          <w:rFonts w:ascii="Times New Roman" w:hAnsi="Times New Roman" w:cs="Times New Roman"/>
          <w:b/>
          <w:i/>
          <w:sz w:val="24"/>
          <w:szCs w:val="24"/>
        </w:rPr>
        <w:t>zemně technické podmínky, jakož i napojení na dopravní a technickou infrastrukturu zůstávají stávající</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k)</w:t>
      </w:r>
      <w:r w:rsidRPr="00D20909">
        <w:rPr>
          <w:rFonts w:ascii="Times New Roman" w:eastAsia="Times New Roman" w:hAnsi="Times New Roman" w:cs="Times New Roman"/>
          <w:color w:val="000000"/>
          <w:sz w:val="24"/>
          <w:szCs w:val="24"/>
          <w:lang w:eastAsia="cs-CZ"/>
        </w:rPr>
        <w:t> věcné a časové vazby stavby, podmiňující, vyvolané, související investice,</w:t>
      </w:r>
    </w:p>
    <w:p w:rsidR="002E3C59" w:rsidRPr="008D1577" w:rsidRDefault="002E3C59" w:rsidP="002E3C59">
      <w:pPr>
        <w:shd w:val="clear" w:color="auto" w:fill="FFFFFF"/>
        <w:spacing w:after="0" w:line="240" w:lineRule="auto"/>
        <w:jc w:val="both"/>
        <w:rPr>
          <w:rFonts w:ascii="Times New Roman" w:hAnsi="Times New Roman" w:cs="Times New Roman"/>
          <w:b/>
          <w:i/>
          <w:sz w:val="24"/>
          <w:szCs w:val="24"/>
        </w:rPr>
      </w:pPr>
      <w:r w:rsidRPr="008D1577">
        <w:rPr>
          <w:rFonts w:ascii="Times New Roman" w:hAnsi="Times New Roman" w:cs="Times New Roman"/>
          <w:b/>
          <w:i/>
          <w:sz w:val="24"/>
          <w:szCs w:val="24"/>
        </w:rPr>
        <w:t>Netýká se této stavby</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l)</w:t>
      </w:r>
      <w:r w:rsidRPr="00D20909">
        <w:rPr>
          <w:rFonts w:ascii="Times New Roman" w:eastAsia="Times New Roman" w:hAnsi="Times New Roman" w:cs="Times New Roman"/>
          <w:color w:val="000000"/>
          <w:sz w:val="24"/>
          <w:szCs w:val="24"/>
          <w:lang w:eastAsia="cs-CZ"/>
        </w:rPr>
        <w:t> seznam pozemků podle katastru nemovitostí, na kterých se stavba umísťuje a provádí,</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1526"/>
        <w:gridCol w:w="1563"/>
        <w:gridCol w:w="883"/>
        <w:gridCol w:w="3706"/>
      </w:tblGrid>
      <w:tr w:rsidR="009702BF" w:rsidRPr="007A6A86" w:rsidTr="00160A1D">
        <w:tc>
          <w:tcPr>
            <w:tcW w:w="0" w:type="auto"/>
            <w:shd w:val="clear" w:color="auto" w:fill="auto"/>
          </w:tcPr>
          <w:p w:rsidR="009702BF" w:rsidRPr="008725C9" w:rsidRDefault="009702BF" w:rsidP="00EC1DC9">
            <w:pPr>
              <w:pStyle w:val="499textodrazeny"/>
              <w:ind w:left="0"/>
              <w:rPr>
                <w:rFonts w:ascii="Times New Roman" w:hAnsi="Times New Roman" w:cs="Times New Roman"/>
                <w:b/>
                <w:i/>
                <w:color w:val="auto"/>
                <w:sz w:val="20"/>
                <w:szCs w:val="20"/>
              </w:rPr>
            </w:pPr>
            <w:r w:rsidRPr="008725C9">
              <w:rPr>
                <w:rFonts w:ascii="Times New Roman" w:hAnsi="Times New Roman" w:cs="Times New Roman"/>
                <w:b/>
                <w:i/>
                <w:color w:val="auto"/>
                <w:sz w:val="20"/>
                <w:szCs w:val="20"/>
              </w:rPr>
              <w:t>Číslo parcely</w:t>
            </w:r>
          </w:p>
        </w:tc>
        <w:tc>
          <w:tcPr>
            <w:tcW w:w="0" w:type="auto"/>
            <w:shd w:val="clear" w:color="auto" w:fill="auto"/>
          </w:tcPr>
          <w:p w:rsidR="009702BF" w:rsidRPr="008725C9" w:rsidRDefault="009702BF" w:rsidP="00EC1DC9">
            <w:pPr>
              <w:pStyle w:val="499textodrazeny"/>
              <w:ind w:left="0"/>
              <w:rPr>
                <w:rFonts w:ascii="Times New Roman" w:hAnsi="Times New Roman" w:cs="Times New Roman"/>
                <w:b/>
                <w:i/>
                <w:color w:val="auto"/>
                <w:sz w:val="20"/>
                <w:szCs w:val="20"/>
              </w:rPr>
            </w:pPr>
            <w:r w:rsidRPr="008725C9">
              <w:rPr>
                <w:rFonts w:ascii="Times New Roman" w:hAnsi="Times New Roman" w:cs="Times New Roman"/>
                <w:b/>
                <w:i/>
                <w:color w:val="auto"/>
                <w:sz w:val="20"/>
                <w:szCs w:val="20"/>
              </w:rPr>
              <w:t>Způsob využití</w:t>
            </w:r>
          </w:p>
        </w:tc>
        <w:tc>
          <w:tcPr>
            <w:tcW w:w="0" w:type="auto"/>
            <w:shd w:val="clear" w:color="auto" w:fill="auto"/>
          </w:tcPr>
          <w:p w:rsidR="009702BF" w:rsidRPr="008725C9" w:rsidRDefault="009702BF" w:rsidP="00EC1DC9">
            <w:pPr>
              <w:pStyle w:val="499textodrazeny"/>
              <w:ind w:left="0"/>
              <w:rPr>
                <w:rFonts w:ascii="Times New Roman" w:hAnsi="Times New Roman" w:cs="Times New Roman"/>
                <w:b/>
                <w:i/>
                <w:color w:val="auto"/>
                <w:sz w:val="20"/>
                <w:szCs w:val="20"/>
              </w:rPr>
            </w:pPr>
            <w:r w:rsidRPr="008725C9">
              <w:rPr>
                <w:rFonts w:ascii="Times New Roman" w:hAnsi="Times New Roman" w:cs="Times New Roman"/>
                <w:b/>
                <w:i/>
                <w:color w:val="auto"/>
                <w:sz w:val="20"/>
                <w:szCs w:val="20"/>
              </w:rPr>
              <w:t>Druh pozemku</w:t>
            </w:r>
          </w:p>
        </w:tc>
        <w:tc>
          <w:tcPr>
            <w:tcW w:w="0" w:type="auto"/>
            <w:shd w:val="clear" w:color="auto" w:fill="auto"/>
          </w:tcPr>
          <w:p w:rsidR="009702BF" w:rsidRPr="008725C9" w:rsidRDefault="009702BF" w:rsidP="00EC1DC9">
            <w:pPr>
              <w:pStyle w:val="499textodrazeny"/>
              <w:ind w:left="0"/>
              <w:rPr>
                <w:rFonts w:ascii="Times New Roman" w:hAnsi="Times New Roman" w:cs="Times New Roman"/>
                <w:b/>
                <w:i/>
                <w:color w:val="auto"/>
                <w:sz w:val="20"/>
                <w:szCs w:val="20"/>
              </w:rPr>
            </w:pPr>
            <w:r w:rsidRPr="008725C9">
              <w:rPr>
                <w:rFonts w:ascii="Times New Roman" w:hAnsi="Times New Roman" w:cs="Times New Roman"/>
                <w:b/>
                <w:i/>
                <w:color w:val="auto"/>
                <w:sz w:val="20"/>
                <w:szCs w:val="20"/>
              </w:rPr>
              <w:t>výměra</w:t>
            </w:r>
          </w:p>
        </w:tc>
        <w:tc>
          <w:tcPr>
            <w:tcW w:w="3706" w:type="dxa"/>
            <w:shd w:val="clear" w:color="auto" w:fill="auto"/>
          </w:tcPr>
          <w:p w:rsidR="009702BF" w:rsidRPr="008725C9" w:rsidRDefault="009702BF" w:rsidP="00EC1DC9">
            <w:pPr>
              <w:pStyle w:val="499textodrazeny"/>
              <w:ind w:left="0"/>
              <w:rPr>
                <w:rFonts w:ascii="Times New Roman" w:hAnsi="Times New Roman" w:cs="Times New Roman"/>
                <w:b/>
                <w:i/>
                <w:color w:val="auto"/>
                <w:sz w:val="20"/>
                <w:szCs w:val="20"/>
              </w:rPr>
            </w:pPr>
            <w:r w:rsidRPr="008725C9">
              <w:rPr>
                <w:rFonts w:ascii="Times New Roman" w:hAnsi="Times New Roman" w:cs="Times New Roman"/>
                <w:b/>
                <w:i/>
                <w:color w:val="auto"/>
                <w:sz w:val="20"/>
                <w:szCs w:val="20"/>
              </w:rPr>
              <w:t>Způsob ochrany</w:t>
            </w:r>
          </w:p>
        </w:tc>
      </w:tr>
      <w:tr w:rsidR="009702BF" w:rsidRPr="007A6A86" w:rsidTr="00160A1D">
        <w:tc>
          <w:tcPr>
            <w:tcW w:w="0" w:type="auto"/>
            <w:shd w:val="clear" w:color="auto" w:fill="auto"/>
          </w:tcPr>
          <w:p w:rsidR="009702BF" w:rsidRPr="008725C9" w:rsidRDefault="00160A1D" w:rsidP="00EC1DC9">
            <w:pPr>
              <w:pStyle w:val="499textodrazeny"/>
              <w:ind w:left="0"/>
              <w:rPr>
                <w:rFonts w:ascii="Times New Roman" w:hAnsi="Times New Roman" w:cs="Times New Roman"/>
                <w:b/>
                <w:i/>
                <w:color w:val="auto"/>
                <w:sz w:val="20"/>
                <w:szCs w:val="20"/>
              </w:rPr>
            </w:pPr>
            <w:r>
              <w:rPr>
                <w:rFonts w:ascii="Times New Roman" w:hAnsi="Times New Roman" w:cs="Times New Roman"/>
                <w:b/>
                <w:i/>
                <w:color w:val="auto"/>
                <w:sz w:val="20"/>
                <w:szCs w:val="20"/>
              </w:rPr>
              <w:t>1911/2</w:t>
            </w:r>
          </w:p>
        </w:tc>
        <w:tc>
          <w:tcPr>
            <w:tcW w:w="0" w:type="auto"/>
            <w:shd w:val="clear" w:color="auto" w:fill="auto"/>
          </w:tcPr>
          <w:p w:rsidR="009702BF" w:rsidRPr="008725C9" w:rsidRDefault="00160A1D" w:rsidP="00EC1DC9">
            <w:pPr>
              <w:pStyle w:val="499textodrazeny"/>
              <w:ind w:left="0"/>
              <w:rPr>
                <w:rFonts w:ascii="Times New Roman" w:hAnsi="Times New Roman" w:cs="Times New Roman"/>
                <w:b/>
                <w:i/>
                <w:color w:val="auto"/>
                <w:sz w:val="20"/>
                <w:szCs w:val="20"/>
              </w:rPr>
            </w:pPr>
            <w:r>
              <w:rPr>
                <w:rFonts w:ascii="Times New Roman" w:hAnsi="Times New Roman" w:cs="Times New Roman"/>
                <w:b/>
                <w:i/>
                <w:color w:val="auto"/>
                <w:sz w:val="20"/>
                <w:szCs w:val="20"/>
              </w:rPr>
              <w:t>silnice</w:t>
            </w:r>
          </w:p>
        </w:tc>
        <w:tc>
          <w:tcPr>
            <w:tcW w:w="0" w:type="auto"/>
            <w:shd w:val="clear" w:color="auto" w:fill="auto"/>
          </w:tcPr>
          <w:p w:rsidR="009702BF" w:rsidRPr="008725C9" w:rsidRDefault="00160A1D" w:rsidP="009702BF">
            <w:pPr>
              <w:pStyle w:val="499textodrazeny"/>
              <w:ind w:left="0"/>
              <w:rPr>
                <w:rFonts w:ascii="Times New Roman" w:hAnsi="Times New Roman" w:cs="Times New Roman"/>
                <w:b/>
                <w:i/>
                <w:color w:val="auto"/>
                <w:sz w:val="20"/>
                <w:szCs w:val="20"/>
              </w:rPr>
            </w:pPr>
            <w:r>
              <w:rPr>
                <w:rFonts w:ascii="Times New Roman" w:hAnsi="Times New Roman" w:cs="Times New Roman"/>
                <w:b/>
                <w:i/>
                <w:color w:val="auto"/>
                <w:sz w:val="20"/>
                <w:szCs w:val="20"/>
              </w:rPr>
              <w:t>Ostatní plocha</w:t>
            </w:r>
          </w:p>
        </w:tc>
        <w:tc>
          <w:tcPr>
            <w:tcW w:w="0" w:type="auto"/>
            <w:shd w:val="clear" w:color="auto" w:fill="auto"/>
          </w:tcPr>
          <w:p w:rsidR="009702BF" w:rsidRPr="008725C9" w:rsidRDefault="00160A1D" w:rsidP="00EC1DC9">
            <w:pPr>
              <w:pStyle w:val="499textodrazeny"/>
              <w:ind w:left="0"/>
              <w:rPr>
                <w:rFonts w:ascii="Times New Roman" w:hAnsi="Times New Roman" w:cs="Times New Roman"/>
                <w:b/>
                <w:i/>
                <w:color w:val="auto"/>
                <w:sz w:val="20"/>
                <w:szCs w:val="20"/>
              </w:rPr>
            </w:pPr>
            <w:r>
              <w:rPr>
                <w:rFonts w:ascii="Times New Roman" w:hAnsi="Times New Roman" w:cs="Times New Roman"/>
                <w:b/>
                <w:i/>
                <w:color w:val="auto"/>
                <w:sz w:val="20"/>
                <w:szCs w:val="20"/>
              </w:rPr>
              <w:t>25 244</w:t>
            </w:r>
          </w:p>
        </w:tc>
        <w:tc>
          <w:tcPr>
            <w:tcW w:w="3706" w:type="dxa"/>
            <w:shd w:val="clear" w:color="auto" w:fill="auto"/>
          </w:tcPr>
          <w:p w:rsidR="009702BF" w:rsidRPr="008725C9" w:rsidRDefault="00160A1D" w:rsidP="00EC1DC9">
            <w:pPr>
              <w:pStyle w:val="499textodrazeny"/>
              <w:ind w:left="0"/>
              <w:rPr>
                <w:rFonts w:ascii="Times New Roman" w:hAnsi="Times New Roman" w:cs="Times New Roman"/>
                <w:b/>
                <w:i/>
                <w:color w:val="auto"/>
                <w:sz w:val="20"/>
                <w:szCs w:val="20"/>
              </w:rPr>
            </w:pPr>
            <w:r>
              <w:rPr>
                <w:rFonts w:ascii="Times New Roman" w:hAnsi="Times New Roman" w:cs="Times New Roman"/>
                <w:b/>
                <w:i/>
                <w:color w:val="auto"/>
                <w:sz w:val="20"/>
                <w:szCs w:val="20"/>
              </w:rPr>
              <w:t>Nejsou evidovány žádné způsoby ochrany</w:t>
            </w:r>
          </w:p>
        </w:tc>
      </w:tr>
    </w:tbl>
    <w:p w:rsidR="002E3C59" w:rsidRPr="00D2090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m)</w:t>
      </w:r>
      <w:r w:rsidRPr="00D20909">
        <w:rPr>
          <w:rFonts w:ascii="Times New Roman" w:eastAsia="Times New Roman" w:hAnsi="Times New Roman" w:cs="Times New Roman"/>
          <w:color w:val="000000"/>
          <w:sz w:val="24"/>
          <w:szCs w:val="24"/>
          <w:lang w:eastAsia="cs-CZ"/>
        </w:rPr>
        <w:t> seznam pozemků podle katastru nemovitostí, na kterých vznikne ochranné nebo bezpečnostní pásmo,</w:t>
      </w:r>
    </w:p>
    <w:p w:rsidR="002E3C59" w:rsidRPr="00A94689" w:rsidRDefault="002E3C59" w:rsidP="002E3C59">
      <w:pPr>
        <w:shd w:val="clear" w:color="auto" w:fill="FFFFFF"/>
        <w:spacing w:after="0" w:line="240" w:lineRule="auto"/>
        <w:jc w:val="both"/>
        <w:rPr>
          <w:rFonts w:ascii="Times New Roman" w:hAnsi="Times New Roman" w:cs="Times New Roman"/>
          <w:b/>
          <w:i/>
          <w:sz w:val="24"/>
          <w:szCs w:val="24"/>
        </w:rPr>
      </w:pPr>
      <w:r w:rsidRPr="00A94689">
        <w:rPr>
          <w:rFonts w:ascii="Times New Roman" w:hAnsi="Times New Roman" w:cs="Times New Roman"/>
          <w:b/>
          <w:i/>
          <w:sz w:val="24"/>
          <w:szCs w:val="24"/>
        </w:rPr>
        <w:t>Stavba nebude mít vliv na nová ochranná nebo bezpečnostní pásma</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n)</w:t>
      </w:r>
      <w:r w:rsidRPr="00D20909">
        <w:rPr>
          <w:rFonts w:ascii="Times New Roman" w:eastAsia="Times New Roman" w:hAnsi="Times New Roman" w:cs="Times New Roman"/>
          <w:color w:val="000000"/>
          <w:sz w:val="24"/>
          <w:szCs w:val="24"/>
          <w:lang w:eastAsia="cs-CZ"/>
        </w:rPr>
        <w:t> požadavky na monitoringy a sledování přetvoření,</w:t>
      </w:r>
    </w:p>
    <w:p w:rsidR="002E3C59" w:rsidRPr="008D1577" w:rsidRDefault="002E3C59" w:rsidP="002E3C59">
      <w:pPr>
        <w:shd w:val="clear" w:color="auto" w:fill="FFFFFF"/>
        <w:spacing w:after="0" w:line="240" w:lineRule="auto"/>
        <w:jc w:val="both"/>
        <w:rPr>
          <w:rFonts w:ascii="Times New Roman" w:hAnsi="Times New Roman" w:cs="Times New Roman"/>
          <w:b/>
          <w:i/>
          <w:sz w:val="24"/>
          <w:szCs w:val="24"/>
        </w:rPr>
      </w:pPr>
      <w:r w:rsidRPr="008D1577">
        <w:rPr>
          <w:rFonts w:ascii="Times New Roman" w:hAnsi="Times New Roman" w:cs="Times New Roman"/>
          <w:b/>
          <w:i/>
          <w:sz w:val="24"/>
          <w:szCs w:val="24"/>
        </w:rPr>
        <w:t>Netýká se této stavby</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o)</w:t>
      </w:r>
      <w:r w:rsidRPr="00D20909">
        <w:rPr>
          <w:rFonts w:ascii="Times New Roman" w:eastAsia="Times New Roman" w:hAnsi="Times New Roman" w:cs="Times New Roman"/>
          <w:color w:val="000000"/>
          <w:sz w:val="24"/>
          <w:szCs w:val="24"/>
          <w:lang w:eastAsia="cs-CZ"/>
        </w:rPr>
        <w:t> možnosti napojení stavby na veřejnou dopravní a technickou infrastrukturu.</w:t>
      </w:r>
    </w:p>
    <w:p w:rsidR="002E3C59" w:rsidRPr="00A94689" w:rsidRDefault="002E3C59" w:rsidP="002E3C59">
      <w:pPr>
        <w:shd w:val="clear" w:color="auto" w:fill="FFFFFF"/>
        <w:spacing w:after="0" w:line="240" w:lineRule="auto"/>
        <w:jc w:val="both"/>
        <w:rPr>
          <w:rFonts w:ascii="Times New Roman" w:hAnsi="Times New Roman" w:cs="Times New Roman"/>
          <w:b/>
          <w:i/>
          <w:sz w:val="24"/>
          <w:szCs w:val="24"/>
        </w:rPr>
      </w:pPr>
      <w:r w:rsidRPr="00A94689">
        <w:rPr>
          <w:rFonts w:ascii="Times New Roman" w:hAnsi="Times New Roman" w:cs="Times New Roman"/>
          <w:b/>
          <w:i/>
          <w:sz w:val="24"/>
          <w:szCs w:val="24"/>
        </w:rPr>
        <w:t>Zůstává stávající</w:t>
      </w:r>
    </w:p>
    <w:p w:rsidR="002E3C59" w:rsidRPr="00D2090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20909">
        <w:rPr>
          <w:rFonts w:ascii="Times New Roman" w:eastAsia="Times New Roman" w:hAnsi="Times New Roman" w:cs="Times New Roman"/>
          <w:color w:val="000000"/>
          <w:sz w:val="24"/>
          <w:szCs w:val="24"/>
          <w:lang w:eastAsia="cs-CZ"/>
        </w:rPr>
        <w:t>B.2 Celkový</w:t>
      </w:r>
      <w:proofErr w:type="gramEnd"/>
      <w:r w:rsidRPr="00D20909">
        <w:rPr>
          <w:rFonts w:ascii="Times New Roman" w:eastAsia="Times New Roman" w:hAnsi="Times New Roman" w:cs="Times New Roman"/>
          <w:color w:val="000000"/>
          <w:sz w:val="24"/>
          <w:szCs w:val="24"/>
          <w:lang w:eastAsia="cs-CZ"/>
        </w:rPr>
        <w:t xml:space="preserve"> popis stavby</w:t>
      </w:r>
    </w:p>
    <w:p w:rsidR="002E3C59" w:rsidRPr="00D2090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20909">
        <w:rPr>
          <w:rFonts w:ascii="Times New Roman" w:eastAsia="Times New Roman" w:hAnsi="Times New Roman" w:cs="Times New Roman"/>
          <w:color w:val="000000"/>
          <w:sz w:val="24"/>
          <w:szCs w:val="24"/>
          <w:lang w:eastAsia="cs-CZ"/>
        </w:rPr>
        <w:lastRenderedPageBreak/>
        <w:t>B.2.1</w:t>
      </w:r>
      <w:proofErr w:type="gramEnd"/>
      <w:r w:rsidRPr="00D20909">
        <w:rPr>
          <w:rFonts w:ascii="Times New Roman" w:eastAsia="Times New Roman" w:hAnsi="Times New Roman" w:cs="Times New Roman"/>
          <w:color w:val="000000"/>
          <w:sz w:val="24"/>
          <w:szCs w:val="24"/>
          <w:lang w:eastAsia="cs-CZ"/>
        </w:rPr>
        <w:t xml:space="preserve"> Celková koncepce řešení stavby</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a)</w:t>
      </w:r>
      <w:r w:rsidRPr="00D20909">
        <w:rPr>
          <w:rFonts w:ascii="Times New Roman" w:eastAsia="Times New Roman" w:hAnsi="Times New Roman" w:cs="Times New Roman"/>
          <w:color w:val="000000"/>
          <w:sz w:val="24"/>
          <w:szCs w:val="24"/>
          <w:lang w:eastAsia="cs-CZ"/>
        </w:rPr>
        <w:t> nová stavba nebo změna dokončené stavby; u změny stavby údaje o jejich současném stavu, závěry stavebně technického, případně stavebně historického průzkumu a výsledky statického posouzení nosných konstrukcí; údaje o dotčené komunikaci,</w:t>
      </w:r>
    </w:p>
    <w:p w:rsidR="00160A1D" w:rsidRPr="00160A1D" w:rsidRDefault="009702BF" w:rsidP="00160A1D">
      <w:pPr>
        <w:shd w:val="clear" w:color="auto" w:fill="FFFFFF"/>
        <w:spacing w:after="0" w:line="240" w:lineRule="auto"/>
        <w:jc w:val="both"/>
        <w:rPr>
          <w:rFonts w:ascii="Times New Roman" w:hAnsi="Times New Roman" w:cs="Times New Roman"/>
          <w:b/>
          <w:i/>
          <w:sz w:val="24"/>
          <w:szCs w:val="24"/>
        </w:rPr>
      </w:pPr>
      <w:r w:rsidRPr="00194C79">
        <w:rPr>
          <w:rFonts w:ascii="Times New Roman" w:hAnsi="Times New Roman" w:cs="Times New Roman"/>
          <w:b/>
          <w:i/>
          <w:sz w:val="24"/>
          <w:szCs w:val="24"/>
        </w:rPr>
        <w:tab/>
      </w:r>
      <w:r w:rsidR="00160A1D" w:rsidRPr="00160A1D">
        <w:rPr>
          <w:rFonts w:ascii="Times New Roman" w:hAnsi="Times New Roman" w:cs="Times New Roman"/>
          <w:b/>
          <w:i/>
          <w:sz w:val="24"/>
          <w:szCs w:val="24"/>
        </w:rPr>
        <w:tab/>
        <w:t>Projekt řeší úpravu stávajících autobusových zastávek v obci </w:t>
      </w:r>
      <w:proofErr w:type="spellStart"/>
      <w:r w:rsidR="00160A1D" w:rsidRPr="00160A1D">
        <w:rPr>
          <w:rFonts w:ascii="Times New Roman" w:hAnsi="Times New Roman" w:cs="Times New Roman"/>
          <w:b/>
          <w:i/>
          <w:sz w:val="24"/>
          <w:szCs w:val="24"/>
        </w:rPr>
        <w:t>Pozorka</w:t>
      </w:r>
      <w:proofErr w:type="spellEnd"/>
      <w:r w:rsidR="00160A1D" w:rsidRPr="00160A1D">
        <w:rPr>
          <w:rFonts w:ascii="Times New Roman" w:hAnsi="Times New Roman" w:cs="Times New Roman"/>
          <w:b/>
          <w:i/>
          <w:sz w:val="24"/>
          <w:szCs w:val="24"/>
        </w:rPr>
        <w:t xml:space="preserve">. Stávající zastávky jsou v jízdních pruzích silnice II/220 Karlovy Vary – Nejdek. Šířka stávající komunikace je zde cca 7,10 m. Zastávka ve směru na Karlovy Vary má zděný přístřešek. Ten bude odstraněn a vzhledem k vybudování nového nástupiště a přilehlého strmého svahu nebude obnoven. </w:t>
      </w:r>
    </w:p>
    <w:p w:rsidR="002E3C59" w:rsidRPr="00194C79" w:rsidRDefault="002E3C59" w:rsidP="00194C79">
      <w:pPr>
        <w:shd w:val="clear" w:color="auto" w:fill="FFFFFF"/>
        <w:spacing w:after="0" w:line="240" w:lineRule="auto"/>
        <w:jc w:val="both"/>
        <w:rPr>
          <w:rFonts w:ascii="Times New Roman" w:eastAsia="Times New Roman" w:hAnsi="Times New Roman" w:cs="Times New Roman"/>
          <w:b/>
          <w:bCs/>
          <w:color w:val="000000"/>
          <w:sz w:val="24"/>
          <w:szCs w:val="24"/>
          <w:lang w:eastAsia="cs-CZ"/>
        </w:rPr>
      </w:pPr>
      <w:r w:rsidRPr="00D20909">
        <w:rPr>
          <w:rFonts w:ascii="Times New Roman" w:eastAsia="Times New Roman" w:hAnsi="Times New Roman" w:cs="Times New Roman"/>
          <w:b/>
          <w:bCs/>
          <w:color w:val="000000"/>
          <w:sz w:val="24"/>
          <w:szCs w:val="24"/>
          <w:lang w:eastAsia="cs-CZ"/>
        </w:rPr>
        <w:t>b)</w:t>
      </w:r>
      <w:r w:rsidRPr="00194C79">
        <w:rPr>
          <w:rFonts w:ascii="Times New Roman" w:eastAsia="Times New Roman" w:hAnsi="Times New Roman" w:cs="Times New Roman"/>
          <w:b/>
          <w:bCs/>
          <w:color w:val="000000"/>
          <w:sz w:val="24"/>
          <w:szCs w:val="24"/>
          <w:lang w:eastAsia="cs-CZ"/>
        </w:rPr>
        <w:t> účel užívání stavby,</w:t>
      </w:r>
    </w:p>
    <w:p w:rsidR="002E3C59" w:rsidRPr="000B28DB" w:rsidRDefault="00160A1D" w:rsidP="002E3C59">
      <w:pPr>
        <w:shd w:val="clear" w:color="auto" w:fill="FFFFFF"/>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Vybudování řádných autobusových zastávek s místem pro přecházení</w:t>
      </w:r>
      <w:r w:rsidR="008D24C9">
        <w:rPr>
          <w:rFonts w:ascii="Times New Roman" w:hAnsi="Times New Roman" w:cs="Times New Roman"/>
          <w:b/>
          <w:i/>
          <w:sz w:val="24"/>
          <w:szCs w:val="24"/>
        </w:rPr>
        <w:t>, nástupní hranou</w:t>
      </w:r>
      <w:r>
        <w:rPr>
          <w:rFonts w:ascii="Times New Roman" w:hAnsi="Times New Roman" w:cs="Times New Roman"/>
          <w:b/>
          <w:i/>
          <w:sz w:val="24"/>
          <w:szCs w:val="24"/>
        </w:rPr>
        <w:t xml:space="preserve"> a c</w:t>
      </w:r>
      <w:r w:rsidR="008D24C9">
        <w:rPr>
          <w:rFonts w:ascii="Times New Roman" w:hAnsi="Times New Roman" w:cs="Times New Roman"/>
          <w:b/>
          <w:i/>
          <w:sz w:val="24"/>
          <w:szCs w:val="24"/>
        </w:rPr>
        <w:t>hodníky</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c)</w:t>
      </w:r>
      <w:r w:rsidRPr="00D20909">
        <w:rPr>
          <w:rFonts w:ascii="Times New Roman" w:eastAsia="Times New Roman" w:hAnsi="Times New Roman" w:cs="Times New Roman"/>
          <w:color w:val="000000"/>
          <w:sz w:val="24"/>
          <w:szCs w:val="24"/>
          <w:lang w:eastAsia="cs-CZ"/>
        </w:rPr>
        <w:t> trvalá nebo dočasná stavba,</w:t>
      </w:r>
    </w:p>
    <w:p w:rsidR="002E3C59" w:rsidRPr="000B28DB" w:rsidRDefault="002E3C59" w:rsidP="002E3C59">
      <w:pPr>
        <w:shd w:val="clear" w:color="auto" w:fill="FFFFFF"/>
        <w:spacing w:after="0" w:line="240" w:lineRule="auto"/>
        <w:jc w:val="both"/>
        <w:rPr>
          <w:rFonts w:ascii="Times New Roman" w:hAnsi="Times New Roman" w:cs="Times New Roman"/>
          <w:b/>
          <w:i/>
          <w:sz w:val="24"/>
          <w:szCs w:val="24"/>
        </w:rPr>
      </w:pPr>
      <w:r w:rsidRPr="000B28DB">
        <w:rPr>
          <w:rFonts w:ascii="Times New Roman" w:hAnsi="Times New Roman" w:cs="Times New Roman"/>
          <w:b/>
          <w:i/>
          <w:sz w:val="24"/>
          <w:szCs w:val="24"/>
        </w:rPr>
        <w:t>Jedná se o trvalou stavbu</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d)</w:t>
      </w:r>
      <w:r w:rsidRPr="00D20909">
        <w:rPr>
          <w:rFonts w:ascii="Times New Roman" w:eastAsia="Times New Roman" w:hAnsi="Times New Roman" w:cs="Times New Roman"/>
          <w:color w:val="000000"/>
          <w:sz w:val="24"/>
          <w:szCs w:val="24"/>
          <w:lang w:eastAsia="cs-CZ"/>
        </w:rPr>
        <w:t> informace o vydaných rozhodnutích o povolení výjimky z technických požadavků na stavby a technických požadavků zabezpečujících bezbariérové užívání stavby nebo souhlasu s odchylným řešením z platných předpisů a norem,</w:t>
      </w:r>
    </w:p>
    <w:p w:rsidR="002E3C59" w:rsidRPr="000B28DB" w:rsidRDefault="002E3C59" w:rsidP="002E3C59">
      <w:pPr>
        <w:shd w:val="clear" w:color="auto" w:fill="FFFFFF"/>
        <w:spacing w:after="0" w:line="240" w:lineRule="auto"/>
        <w:jc w:val="both"/>
        <w:rPr>
          <w:rFonts w:ascii="Times New Roman" w:hAnsi="Times New Roman" w:cs="Times New Roman"/>
          <w:b/>
          <w:i/>
          <w:sz w:val="24"/>
          <w:szCs w:val="24"/>
        </w:rPr>
      </w:pPr>
      <w:r w:rsidRPr="000B28DB">
        <w:rPr>
          <w:rFonts w:ascii="Times New Roman" w:hAnsi="Times New Roman" w:cs="Times New Roman"/>
          <w:b/>
          <w:i/>
          <w:sz w:val="24"/>
          <w:szCs w:val="24"/>
        </w:rPr>
        <w:t>Netýká se této stavby</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e)</w:t>
      </w:r>
      <w:r w:rsidRPr="00D20909">
        <w:rPr>
          <w:rFonts w:ascii="Times New Roman" w:eastAsia="Times New Roman" w:hAnsi="Times New Roman" w:cs="Times New Roman"/>
          <w:color w:val="000000"/>
          <w:sz w:val="24"/>
          <w:szCs w:val="24"/>
          <w:lang w:eastAsia="cs-CZ"/>
        </w:rPr>
        <w:t> informace o tom, zda a v jakých částech dokumentace jsou zohledněny podmínky závazných stanovisek dotčených orgánů,</w:t>
      </w:r>
    </w:p>
    <w:p w:rsidR="002E3C59" w:rsidRPr="002876DA" w:rsidRDefault="002E3C59" w:rsidP="002E3C59">
      <w:pPr>
        <w:shd w:val="clear" w:color="auto" w:fill="FFFFFF"/>
        <w:spacing w:after="0" w:line="240" w:lineRule="auto"/>
        <w:jc w:val="both"/>
        <w:rPr>
          <w:rFonts w:ascii="Times New Roman" w:hAnsi="Times New Roman" w:cs="Times New Roman"/>
          <w:b/>
          <w:i/>
          <w:sz w:val="24"/>
          <w:szCs w:val="24"/>
        </w:rPr>
      </w:pPr>
      <w:r w:rsidRPr="002876DA">
        <w:rPr>
          <w:rFonts w:ascii="Times New Roman" w:hAnsi="Times New Roman" w:cs="Times New Roman"/>
          <w:b/>
          <w:i/>
          <w:sz w:val="24"/>
          <w:szCs w:val="24"/>
        </w:rPr>
        <w:t>Na základě této dokumentace jsou obstarávána závazná stanoviska orgánů</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f)</w:t>
      </w:r>
      <w:r w:rsidRPr="00D20909">
        <w:rPr>
          <w:rFonts w:ascii="Times New Roman" w:eastAsia="Times New Roman" w:hAnsi="Times New Roman" w:cs="Times New Roman"/>
          <w:color w:val="000000"/>
          <w:sz w:val="24"/>
          <w:szCs w:val="24"/>
          <w:lang w:eastAsia="cs-CZ"/>
        </w:rPr>
        <w:t> celkový popis koncepce řešení stavby včetně základních parametrů stavby - návrhová rychlost, provozní staničení, šířkové uspořádání, intenzity dopravy, technologie a zařízení, nová ochranná pásma a chráněná území apod.,</w:t>
      </w:r>
    </w:p>
    <w:p w:rsidR="008D24C9" w:rsidRPr="008D24C9" w:rsidRDefault="008D24C9" w:rsidP="008D24C9">
      <w:pPr>
        <w:shd w:val="clear" w:color="auto" w:fill="FFFFFF"/>
        <w:spacing w:after="0" w:line="240" w:lineRule="auto"/>
        <w:jc w:val="both"/>
        <w:rPr>
          <w:rFonts w:ascii="Times New Roman" w:hAnsi="Times New Roman" w:cs="Times New Roman"/>
          <w:b/>
          <w:i/>
          <w:sz w:val="24"/>
          <w:szCs w:val="24"/>
        </w:rPr>
      </w:pPr>
      <w:r w:rsidRPr="008D24C9">
        <w:rPr>
          <w:rFonts w:ascii="Times New Roman" w:hAnsi="Times New Roman" w:cs="Times New Roman"/>
          <w:b/>
          <w:i/>
          <w:sz w:val="24"/>
          <w:szCs w:val="24"/>
        </w:rPr>
        <w:t xml:space="preserve">Pro obě zastávky je navrženo vybudování nového nástupiště šířky 2,00 m. U zastávky směrem na K. Vary pak je dále navržen chodník šířky 1,25 m, na jehož konci bude místo pro přecházení mezi oběma zastávkami, jehož šířka je 3,0 m. Nástupní hrana zastávky bude 200 mm nad vozovkou. </w:t>
      </w:r>
    </w:p>
    <w:p w:rsidR="008D24C9" w:rsidRPr="008D24C9" w:rsidRDefault="008D24C9" w:rsidP="008D24C9">
      <w:pPr>
        <w:shd w:val="clear" w:color="auto" w:fill="FFFFFF"/>
        <w:spacing w:after="0" w:line="240" w:lineRule="auto"/>
        <w:jc w:val="both"/>
        <w:rPr>
          <w:rFonts w:ascii="Times New Roman" w:hAnsi="Times New Roman" w:cs="Times New Roman"/>
          <w:b/>
          <w:i/>
          <w:sz w:val="24"/>
          <w:szCs w:val="24"/>
        </w:rPr>
      </w:pPr>
      <w:r w:rsidRPr="008D24C9">
        <w:rPr>
          <w:rFonts w:ascii="Times New Roman" w:hAnsi="Times New Roman" w:cs="Times New Roman"/>
          <w:b/>
          <w:i/>
          <w:sz w:val="24"/>
          <w:szCs w:val="24"/>
        </w:rPr>
        <w:t xml:space="preserve">Zastávky mají délku 12,0 m. Jejich vzájemná vzdálenost je navržena 20,0 m. </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g)</w:t>
      </w:r>
      <w:r w:rsidRPr="00D20909">
        <w:rPr>
          <w:rFonts w:ascii="Times New Roman" w:eastAsia="Times New Roman" w:hAnsi="Times New Roman" w:cs="Times New Roman"/>
          <w:color w:val="000000"/>
          <w:sz w:val="24"/>
          <w:szCs w:val="24"/>
          <w:lang w:eastAsia="cs-CZ"/>
        </w:rPr>
        <w:t> ochrana stavby podle jiných právních předpisů</w:t>
      </w:r>
      <w:r w:rsidRPr="00D20909">
        <w:rPr>
          <w:rFonts w:ascii="Times New Roman" w:eastAsia="Times New Roman" w:hAnsi="Times New Roman" w:cs="Times New Roman"/>
          <w:color w:val="000000"/>
          <w:sz w:val="24"/>
          <w:szCs w:val="24"/>
          <w:vertAlign w:val="superscript"/>
          <w:lang w:eastAsia="cs-CZ"/>
        </w:rPr>
        <w:t>1</w:t>
      </w:r>
      <w:r w:rsidRPr="00D20909">
        <w:rPr>
          <w:rFonts w:ascii="Times New Roman" w:eastAsia="Times New Roman" w:hAnsi="Times New Roman" w:cs="Times New Roman"/>
          <w:color w:val="000000"/>
          <w:sz w:val="24"/>
          <w:szCs w:val="24"/>
          <w:lang w:eastAsia="cs-CZ"/>
        </w:rPr>
        <w:t>),</w:t>
      </w:r>
    </w:p>
    <w:p w:rsidR="002E3C59" w:rsidRPr="00A3443F" w:rsidRDefault="002E3C59" w:rsidP="002E3C59">
      <w:pPr>
        <w:shd w:val="clear" w:color="auto" w:fill="FFFFFF"/>
        <w:spacing w:after="0" w:line="240" w:lineRule="auto"/>
        <w:jc w:val="both"/>
        <w:rPr>
          <w:rFonts w:ascii="Times New Roman" w:hAnsi="Times New Roman" w:cs="Times New Roman"/>
          <w:b/>
          <w:i/>
          <w:sz w:val="24"/>
          <w:szCs w:val="24"/>
        </w:rPr>
      </w:pPr>
      <w:r w:rsidRPr="00A3443F">
        <w:rPr>
          <w:rFonts w:ascii="Times New Roman" w:hAnsi="Times New Roman" w:cs="Times New Roman"/>
          <w:b/>
          <w:i/>
          <w:sz w:val="24"/>
          <w:szCs w:val="24"/>
        </w:rPr>
        <w:t>Netýká se této stavby</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h)</w:t>
      </w:r>
      <w:r w:rsidRPr="00D20909">
        <w:rPr>
          <w:rFonts w:ascii="Times New Roman" w:eastAsia="Times New Roman" w:hAnsi="Times New Roman" w:cs="Times New Roman"/>
          <w:color w:val="000000"/>
          <w:sz w:val="24"/>
          <w:szCs w:val="24"/>
          <w:lang w:eastAsia="cs-CZ"/>
        </w:rPr>
        <w:t> základní bilance stavby - potřeby a spotřeby médií a hmot, hospodaření s dešťovou vodou, celkové produkované množství a druhy odpadů a emisí, třída energetické náročnosti budov apod.,</w:t>
      </w:r>
    </w:p>
    <w:p w:rsidR="008D24C9" w:rsidRDefault="008D24C9" w:rsidP="002E3C59">
      <w:pPr>
        <w:shd w:val="clear" w:color="auto" w:fill="FFFFFF"/>
        <w:spacing w:after="0" w:line="240" w:lineRule="auto"/>
        <w:jc w:val="both"/>
        <w:rPr>
          <w:rFonts w:ascii="Times New Roman" w:hAnsi="Times New Roman" w:cs="Times New Roman"/>
          <w:b/>
          <w:i/>
          <w:sz w:val="24"/>
          <w:szCs w:val="24"/>
        </w:rPr>
      </w:pPr>
      <w:r w:rsidRPr="008D24C9">
        <w:rPr>
          <w:rFonts w:ascii="Times New Roman" w:hAnsi="Times New Roman" w:cs="Times New Roman"/>
          <w:b/>
          <w:i/>
          <w:sz w:val="24"/>
          <w:szCs w:val="24"/>
        </w:rPr>
        <w:t xml:space="preserve">Odvodnění chodníku a nástupiště autobusových zastávek se provede jejich </w:t>
      </w:r>
      <w:proofErr w:type="spellStart"/>
      <w:r w:rsidRPr="008D24C9">
        <w:rPr>
          <w:rFonts w:ascii="Times New Roman" w:hAnsi="Times New Roman" w:cs="Times New Roman"/>
          <w:b/>
          <w:i/>
          <w:sz w:val="24"/>
          <w:szCs w:val="24"/>
        </w:rPr>
        <w:t>vyspádováním</w:t>
      </w:r>
      <w:proofErr w:type="spellEnd"/>
      <w:r w:rsidRPr="008D24C9">
        <w:rPr>
          <w:rFonts w:ascii="Times New Roman" w:hAnsi="Times New Roman" w:cs="Times New Roman"/>
          <w:b/>
          <w:i/>
          <w:sz w:val="24"/>
          <w:szCs w:val="24"/>
        </w:rPr>
        <w:t xml:space="preserve"> k okraji směrem ke komunikaci</w:t>
      </w:r>
    </w:p>
    <w:p w:rsidR="002E3C59" w:rsidRDefault="008D24C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 xml:space="preserve"> </w:t>
      </w:r>
      <w:r w:rsidR="002E3C59" w:rsidRPr="00D20909">
        <w:rPr>
          <w:rFonts w:ascii="Times New Roman" w:eastAsia="Times New Roman" w:hAnsi="Times New Roman" w:cs="Times New Roman"/>
          <w:b/>
          <w:bCs/>
          <w:color w:val="000000"/>
          <w:sz w:val="24"/>
          <w:szCs w:val="24"/>
          <w:lang w:eastAsia="cs-CZ"/>
        </w:rPr>
        <w:t>i)</w:t>
      </w:r>
      <w:r w:rsidR="002E3C59" w:rsidRPr="00D20909">
        <w:rPr>
          <w:rFonts w:ascii="Times New Roman" w:eastAsia="Times New Roman" w:hAnsi="Times New Roman" w:cs="Times New Roman"/>
          <w:color w:val="000000"/>
          <w:sz w:val="24"/>
          <w:szCs w:val="24"/>
          <w:lang w:eastAsia="cs-CZ"/>
        </w:rPr>
        <w:t> základní předpoklady výstavby - časové údaje o realizaci stavby, členění na etapy,</w:t>
      </w:r>
    </w:p>
    <w:p w:rsidR="002E3C59" w:rsidRDefault="002E3C59" w:rsidP="002E3C59">
      <w:pPr>
        <w:shd w:val="clear" w:color="auto" w:fill="FFFFFF"/>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Realizace stavby bude probíhat dle finančních možností objednatele</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j)</w:t>
      </w:r>
      <w:r w:rsidRPr="00D20909">
        <w:rPr>
          <w:rFonts w:ascii="Times New Roman" w:eastAsia="Times New Roman" w:hAnsi="Times New Roman" w:cs="Times New Roman"/>
          <w:color w:val="000000"/>
          <w:sz w:val="24"/>
          <w:szCs w:val="24"/>
          <w:lang w:eastAsia="cs-CZ"/>
        </w:rPr>
        <w:t> základní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p>
    <w:p w:rsidR="002E3C59" w:rsidRPr="00A3443F" w:rsidRDefault="00194C79" w:rsidP="002E3C59">
      <w:pPr>
        <w:shd w:val="clear" w:color="auto" w:fill="FFFFFF"/>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Stavba bude předána do provozu jako celek</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k)</w:t>
      </w:r>
      <w:r w:rsidRPr="00D20909">
        <w:rPr>
          <w:rFonts w:ascii="Times New Roman" w:eastAsia="Times New Roman" w:hAnsi="Times New Roman" w:cs="Times New Roman"/>
          <w:color w:val="000000"/>
          <w:sz w:val="24"/>
          <w:szCs w:val="24"/>
          <w:lang w:eastAsia="cs-CZ"/>
        </w:rPr>
        <w:t> orientační náklady stavby.</w:t>
      </w:r>
    </w:p>
    <w:p w:rsidR="002E3C59" w:rsidRPr="00A3443F" w:rsidRDefault="002E3C59" w:rsidP="002E3C59">
      <w:pPr>
        <w:shd w:val="clear" w:color="auto" w:fill="FFFFFF"/>
        <w:spacing w:after="0" w:line="240" w:lineRule="auto"/>
        <w:jc w:val="both"/>
        <w:rPr>
          <w:rFonts w:ascii="Times New Roman" w:hAnsi="Times New Roman" w:cs="Times New Roman"/>
          <w:b/>
          <w:i/>
          <w:sz w:val="24"/>
          <w:szCs w:val="24"/>
        </w:rPr>
      </w:pPr>
      <w:r w:rsidRPr="00A3443F">
        <w:rPr>
          <w:rFonts w:ascii="Times New Roman" w:hAnsi="Times New Roman" w:cs="Times New Roman"/>
          <w:b/>
          <w:i/>
          <w:sz w:val="24"/>
          <w:szCs w:val="24"/>
        </w:rPr>
        <w:t xml:space="preserve">Předpokládané náklady stavby činí </w:t>
      </w:r>
      <w:r w:rsidR="00194C79">
        <w:rPr>
          <w:rFonts w:ascii="Times New Roman" w:hAnsi="Times New Roman" w:cs="Times New Roman"/>
          <w:b/>
          <w:i/>
          <w:sz w:val="24"/>
          <w:szCs w:val="24"/>
        </w:rPr>
        <w:t>1</w:t>
      </w:r>
      <w:r w:rsidR="008D24C9">
        <w:rPr>
          <w:rFonts w:ascii="Times New Roman" w:hAnsi="Times New Roman" w:cs="Times New Roman"/>
          <w:b/>
          <w:i/>
          <w:sz w:val="24"/>
          <w:szCs w:val="24"/>
        </w:rPr>
        <w:t>,7</w:t>
      </w:r>
      <w:r w:rsidRPr="00A3443F">
        <w:rPr>
          <w:rFonts w:ascii="Times New Roman" w:hAnsi="Times New Roman" w:cs="Times New Roman"/>
          <w:b/>
          <w:i/>
          <w:sz w:val="24"/>
          <w:szCs w:val="24"/>
        </w:rPr>
        <w:t xml:space="preserve"> mil. Kč</w:t>
      </w:r>
    </w:p>
    <w:p w:rsidR="002E3C59" w:rsidRPr="00D2090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20909">
        <w:rPr>
          <w:rFonts w:ascii="Times New Roman" w:eastAsia="Times New Roman" w:hAnsi="Times New Roman" w:cs="Times New Roman"/>
          <w:color w:val="000000"/>
          <w:sz w:val="24"/>
          <w:szCs w:val="24"/>
          <w:lang w:eastAsia="cs-CZ"/>
        </w:rPr>
        <w:t>B.2.2</w:t>
      </w:r>
      <w:proofErr w:type="gramEnd"/>
      <w:r w:rsidRPr="00D20909">
        <w:rPr>
          <w:rFonts w:ascii="Times New Roman" w:eastAsia="Times New Roman" w:hAnsi="Times New Roman" w:cs="Times New Roman"/>
          <w:color w:val="000000"/>
          <w:sz w:val="24"/>
          <w:szCs w:val="24"/>
          <w:lang w:eastAsia="cs-CZ"/>
        </w:rPr>
        <w:t xml:space="preserve"> Celkové urbanistické a architektonické řešení</w:t>
      </w:r>
    </w:p>
    <w:p w:rsidR="002E3C59" w:rsidRDefault="002E3C59" w:rsidP="002E3C59">
      <w:pPr>
        <w:shd w:val="clear" w:color="auto" w:fill="FFFFFF"/>
        <w:spacing w:after="0" w:line="240" w:lineRule="auto"/>
        <w:jc w:val="both"/>
        <w:rPr>
          <w:rFonts w:ascii="Times New Roman" w:hAnsi="Times New Roman" w:cs="Times New Roman"/>
          <w:b/>
          <w:i/>
          <w:sz w:val="24"/>
          <w:szCs w:val="24"/>
        </w:rPr>
      </w:pPr>
      <w:r w:rsidRPr="00A3443F">
        <w:rPr>
          <w:rFonts w:ascii="Times New Roman" w:hAnsi="Times New Roman" w:cs="Times New Roman"/>
          <w:b/>
          <w:i/>
          <w:sz w:val="24"/>
          <w:szCs w:val="24"/>
        </w:rPr>
        <w:t>Netýká se této stavby</w:t>
      </w:r>
    </w:p>
    <w:p w:rsidR="002E3C59" w:rsidRDefault="002E3C59" w:rsidP="002E3C59">
      <w:pPr>
        <w:rPr>
          <w:rFonts w:ascii="Times New Roman" w:hAnsi="Times New Roman" w:cs="Times New Roman"/>
          <w:b/>
          <w:i/>
          <w:sz w:val="24"/>
          <w:szCs w:val="24"/>
        </w:rPr>
      </w:pPr>
      <w:r>
        <w:rPr>
          <w:rFonts w:ascii="Times New Roman" w:hAnsi="Times New Roman" w:cs="Times New Roman"/>
          <w:b/>
          <w:i/>
          <w:sz w:val="24"/>
          <w:szCs w:val="24"/>
        </w:rPr>
        <w:br w:type="page"/>
      </w:r>
    </w:p>
    <w:p w:rsidR="002E3C59" w:rsidRPr="00D2090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20909">
        <w:rPr>
          <w:rFonts w:ascii="Times New Roman" w:eastAsia="Times New Roman" w:hAnsi="Times New Roman" w:cs="Times New Roman"/>
          <w:color w:val="000000"/>
          <w:sz w:val="24"/>
          <w:szCs w:val="24"/>
          <w:lang w:eastAsia="cs-CZ"/>
        </w:rPr>
        <w:lastRenderedPageBreak/>
        <w:t>B.2.3</w:t>
      </w:r>
      <w:proofErr w:type="gramEnd"/>
      <w:r w:rsidRPr="00D20909">
        <w:rPr>
          <w:rFonts w:ascii="Times New Roman" w:eastAsia="Times New Roman" w:hAnsi="Times New Roman" w:cs="Times New Roman"/>
          <w:color w:val="000000"/>
          <w:sz w:val="24"/>
          <w:szCs w:val="24"/>
          <w:lang w:eastAsia="cs-CZ"/>
        </w:rPr>
        <w:t xml:space="preserve"> Celkové technické řešení</w:t>
      </w:r>
    </w:p>
    <w:p w:rsidR="008D24C9" w:rsidRPr="008D24C9" w:rsidRDefault="008D24C9" w:rsidP="008D24C9">
      <w:pPr>
        <w:shd w:val="clear" w:color="auto" w:fill="FFFFFF"/>
        <w:spacing w:after="0" w:line="240" w:lineRule="auto"/>
        <w:jc w:val="both"/>
        <w:rPr>
          <w:rFonts w:ascii="Times New Roman" w:hAnsi="Times New Roman" w:cs="Times New Roman"/>
          <w:b/>
          <w:sz w:val="24"/>
          <w:szCs w:val="24"/>
          <w:u w:val="single"/>
        </w:rPr>
      </w:pPr>
      <w:r w:rsidRPr="008D24C9">
        <w:rPr>
          <w:rFonts w:ascii="Times New Roman" w:hAnsi="Times New Roman" w:cs="Times New Roman"/>
          <w:b/>
          <w:sz w:val="24"/>
          <w:szCs w:val="24"/>
          <w:u w:val="single"/>
        </w:rPr>
        <w:t>Zastávka ve směru na Nejdek</w:t>
      </w:r>
    </w:p>
    <w:p w:rsidR="008D24C9" w:rsidRPr="008D24C9" w:rsidRDefault="008D24C9" w:rsidP="008D24C9">
      <w:pPr>
        <w:shd w:val="clear" w:color="auto" w:fill="FFFFFF"/>
        <w:spacing w:after="0" w:line="240" w:lineRule="auto"/>
        <w:jc w:val="both"/>
        <w:rPr>
          <w:rFonts w:ascii="Times New Roman" w:hAnsi="Times New Roman" w:cs="Times New Roman"/>
          <w:b/>
          <w:i/>
          <w:sz w:val="24"/>
          <w:szCs w:val="24"/>
        </w:rPr>
      </w:pPr>
    </w:p>
    <w:p w:rsidR="008D24C9" w:rsidRPr="008D24C9" w:rsidRDefault="008D24C9" w:rsidP="008D24C9">
      <w:pPr>
        <w:shd w:val="clear" w:color="auto" w:fill="FFFFFF"/>
        <w:spacing w:after="0" w:line="240" w:lineRule="auto"/>
        <w:jc w:val="both"/>
        <w:rPr>
          <w:rFonts w:ascii="Times New Roman" w:hAnsi="Times New Roman" w:cs="Times New Roman"/>
          <w:b/>
          <w:i/>
          <w:sz w:val="24"/>
          <w:szCs w:val="24"/>
        </w:rPr>
      </w:pPr>
      <w:r w:rsidRPr="008D24C9">
        <w:rPr>
          <w:rFonts w:ascii="Times New Roman" w:hAnsi="Times New Roman" w:cs="Times New Roman"/>
          <w:b/>
          <w:i/>
          <w:sz w:val="24"/>
          <w:szCs w:val="24"/>
        </w:rPr>
        <w:t xml:space="preserve">Zastávka je umístěna v těsné blízkosti stávajícího oplocení. Délka zastávky je 12,0 m, délka nástupní hrany s převýšením 200 mm nad stávající vozovkou </w:t>
      </w:r>
      <w:proofErr w:type="gramStart"/>
      <w:r w:rsidRPr="008D24C9">
        <w:rPr>
          <w:rFonts w:ascii="Times New Roman" w:hAnsi="Times New Roman" w:cs="Times New Roman"/>
          <w:b/>
          <w:i/>
          <w:sz w:val="24"/>
          <w:szCs w:val="24"/>
        </w:rPr>
        <w:t>je</w:t>
      </w:r>
      <w:proofErr w:type="gramEnd"/>
      <w:r w:rsidRPr="008D24C9">
        <w:rPr>
          <w:rFonts w:ascii="Times New Roman" w:hAnsi="Times New Roman" w:cs="Times New Roman"/>
          <w:b/>
          <w:i/>
          <w:sz w:val="24"/>
          <w:szCs w:val="24"/>
        </w:rPr>
        <w:t xml:space="preserve"> 9,0 m. před zastávkou je navrženo snížení chodníku a vytvoření místa pro přecházení. </w:t>
      </w:r>
    </w:p>
    <w:p w:rsidR="008D24C9" w:rsidRPr="008D24C9" w:rsidRDefault="008D24C9" w:rsidP="008D24C9">
      <w:pPr>
        <w:shd w:val="clear" w:color="auto" w:fill="FFFFFF"/>
        <w:spacing w:after="0" w:line="240" w:lineRule="auto"/>
        <w:jc w:val="both"/>
        <w:rPr>
          <w:rFonts w:ascii="Times New Roman" w:hAnsi="Times New Roman" w:cs="Times New Roman"/>
          <w:b/>
          <w:i/>
          <w:sz w:val="24"/>
          <w:szCs w:val="24"/>
        </w:rPr>
      </w:pPr>
      <w:r w:rsidRPr="008D24C9">
        <w:rPr>
          <w:rFonts w:ascii="Times New Roman" w:hAnsi="Times New Roman" w:cs="Times New Roman"/>
          <w:b/>
          <w:i/>
          <w:sz w:val="24"/>
          <w:szCs w:val="24"/>
        </w:rPr>
        <w:t xml:space="preserve">Provede se odříznutí asfaltového krytu v tloušťce 100 mm v délce 18,0 m a jeho vybourání.  </w:t>
      </w:r>
    </w:p>
    <w:p w:rsidR="008D24C9" w:rsidRPr="008D24C9" w:rsidRDefault="008D24C9" w:rsidP="008D24C9">
      <w:pPr>
        <w:shd w:val="clear" w:color="auto" w:fill="FFFFFF"/>
        <w:spacing w:after="0" w:line="240" w:lineRule="auto"/>
        <w:jc w:val="both"/>
        <w:rPr>
          <w:rFonts w:ascii="Times New Roman" w:hAnsi="Times New Roman" w:cs="Times New Roman"/>
          <w:b/>
          <w:i/>
          <w:sz w:val="24"/>
          <w:szCs w:val="24"/>
        </w:rPr>
      </w:pPr>
      <w:r w:rsidRPr="008D24C9">
        <w:rPr>
          <w:rFonts w:ascii="Times New Roman" w:hAnsi="Times New Roman" w:cs="Times New Roman"/>
          <w:b/>
          <w:i/>
          <w:sz w:val="24"/>
          <w:szCs w:val="24"/>
        </w:rPr>
        <w:t xml:space="preserve">Nové betonové obrubníky se osadí podél komunikace, ostatní okraje nástupiště se provedou z betonových palisád 160/160/400 mm nebo 600 mm. Spára mezi obrubníkem a odříznutým krytem se opatří asfaltovou zálivkou. </w:t>
      </w:r>
    </w:p>
    <w:p w:rsidR="008D24C9" w:rsidRPr="008D24C9" w:rsidRDefault="008D24C9" w:rsidP="008D24C9">
      <w:pPr>
        <w:shd w:val="clear" w:color="auto" w:fill="FFFFFF"/>
        <w:spacing w:after="0" w:line="240" w:lineRule="auto"/>
        <w:jc w:val="both"/>
        <w:rPr>
          <w:rFonts w:ascii="Times New Roman" w:hAnsi="Times New Roman" w:cs="Times New Roman"/>
          <w:b/>
          <w:i/>
          <w:sz w:val="24"/>
          <w:szCs w:val="24"/>
        </w:rPr>
      </w:pPr>
      <w:r w:rsidRPr="008D24C9">
        <w:rPr>
          <w:rFonts w:ascii="Times New Roman" w:hAnsi="Times New Roman" w:cs="Times New Roman"/>
          <w:b/>
          <w:i/>
          <w:sz w:val="24"/>
          <w:szCs w:val="24"/>
        </w:rPr>
        <w:t xml:space="preserve">Pak se provede konstrukce plochy nástupiště z betonové dlažby. Podél nástupní hrany se provede pás z hladké dlažby šířky 500 mm a délky 10,0 m, který bude kontrastní s dlažbou chodníku. U předního okraje zastávky se provede signální pás z reliéfní dlažby kontrastní oproti barvě chodníku. Jeho šířka je 800 mm. </w:t>
      </w:r>
    </w:p>
    <w:p w:rsidR="008D24C9" w:rsidRPr="008D24C9" w:rsidRDefault="008D24C9" w:rsidP="008D24C9">
      <w:pPr>
        <w:shd w:val="clear" w:color="auto" w:fill="FFFFFF"/>
        <w:spacing w:after="0" w:line="240" w:lineRule="auto"/>
        <w:jc w:val="both"/>
        <w:rPr>
          <w:rFonts w:ascii="Times New Roman" w:hAnsi="Times New Roman" w:cs="Times New Roman"/>
          <w:b/>
          <w:i/>
          <w:sz w:val="24"/>
          <w:szCs w:val="24"/>
        </w:rPr>
      </w:pPr>
      <w:r w:rsidRPr="008D24C9">
        <w:rPr>
          <w:rFonts w:ascii="Times New Roman" w:hAnsi="Times New Roman" w:cs="Times New Roman"/>
          <w:b/>
          <w:i/>
          <w:sz w:val="24"/>
          <w:szCs w:val="24"/>
        </w:rPr>
        <w:t xml:space="preserve">Nástupní hrany budou z bezbariérových betonových obrubníků s převýšením +200 mm nad vozovkou. Jako příklad jsou zde uvedeny betonové obrubníky firmy CS BETON.  </w:t>
      </w:r>
    </w:p>
    <w:p w:rsidR="008D24C9" w:rsidRDefault="008D24C9" w:rsidP="008D24C9">
      <w:pPr>
        <w:shd w:val="clear" w:color="auto" w:fill="FFFFFF"/>
        <w:spacing w:after="0" w:line="240" w:lineRule="auto"/>
        <w:jc w:val="both"/>
        <w:rPr>
          <w:rFonts w:ascii="Times New Roman" w:hAnsi="Times New Roman" w:cs="Times New Roman"/>
          <w:b/>
          <w:i/>
          <w:sz w:val="24"/>
          <w:szCs w:val="24"/>
        </w:rPr>
      </w:pPr>
      <w:r w:rsidRPr="008D24C9">
        <w:rPr>
          <w:rFonts w:ascii="Times New Roman" w:hAnsi="Times New Roman" w:cs="Times New Roman"/>
          <w:b/>
          <w:i/>
          <w:sz w:val="24"/>
          <w:szCs w:val="24"/>
        </w:rPr>
        <w:t xml:space="preserve">V km 0,037 se osadí náběhový obrubník H 25 150/250-150/1000 mm. Ten se napojí na obrubník místa pro přecházení H 25 150/250/1000 mm s převýšením +20 mm, na druhé straně obrubníku pak bude převýšení +150 mm. Dále se osadí obrubník HK 400/310-H 25/1000 mm a za ním pak obrubník HK 400/330-310/1000 mm. Následovat budou obrubníky HK 400/330/1000 mm v délce 9,0 m. Na opačné straně zastávky se osadí obrubník HK 400/330-310/1000 mm, za ním obrubník HK 400/310-H 25/1000 mm. Následovat bude obrubník H 25 150/250-150/1000 mm, který se napojí na stávající stav s převýšením +20 mm nad vozovkou. </w:t>
      </w:r>
    </w:p>
    <w:p w:rsidR="008D24C9" w:rsidRPr="008D24C9" w:rsidRDefault="008D24C9" w:rsidP="008D24C9">
      <w:pPr>
        <w:shd w:val="clear" w:color="auto" w:fill="FFFFFF"/>
        <w:spacing w:after="0" w:line="240" w:lineRule="auto"/>
        <w:jc w:val="both"/>
        <w:rPr>
          <w:rFonts w:ascii="Times New Roman" w:hAnsi="Times New Roman" w:cs="Times New Roman"/>
          <w:b/>
          <w:i/>
          <w:sz w:val="24"/>
          <w:szCs w:val="24"/>
        </w:rPr>
      </w:pPr>
    </w:p>
    <w:p w:rsidR="008D24C9" w:rsidRPr="008D24C9" w:rsidRDefault="008D24C9" w:rsidP="008D24C9">
      <w:pPr>
        <w:shd w:val="clear" w:color="auto" w:fill="FFFFFF"/>
        <w:spacing w:after="0" w:line="240" w:lineRule="auto"/>
        <w:jc w:val="both"/>
        <w:rPr>
          <w:rFonts w:ascii="Times New Roman" w:hAnsi="Times New Roman" w:cs="Times New Roman"/>
          <w:b/>
          <w:sz w:val="24"/>
          <w:szCs w:val="24"/>
          <w:u w:val="single"/>
        </w:rPr>
      </w:pPr>
      <w:r w:rsidRPr="008D24C9">
        <w:rPr>
          <w:rFonts w:ascii="Times New Roman" w:hAnsi="Times New Roman" w:cs="Times New Roman"/>
          <w:b/>
          <w:sz w:val="24"/>
          <w:szCs w:val="24"/>
          <w:u w:val="single"/>
        </w:rPr>
        <w:t>Zastávka ve směru na Karlovy Vary</w:t>
      </w:r>
    </w:p>
    <w:p w:rsidR="008D24C9" w:rsidRPr="008D24C9" w:rsidRDefault="008D24C9" w:rsidP="008D24C9">
      <w:pPr>
        <w:shd w:val="clear" w:color="auto" w:fill="FFFFFF"/>
        <w:spacing w:after="0" w:line="240" w:lineRule="auto"/>
        <w:jc w:val="both"/>
        <w:rPr>
          <w:rFonts w:ascii="Times New Roman" w:hAnsi="Times New Roman" w:cs="Times New Roman"/>
          <w:b/>
          <w:i/>
          <w:sz w:val="24"/>
          <w:szCs w:val="24"/>
        </w:rPr>
      </w:pPr>
      <w:r w:rsidRPr="008D24C9">
        <w:rPr>
          <w:rFonts w:ascii="Times New Roman" w:hAnsi="Times New Roman" w:cs="Times New Roman"/>
          <w:b/>
          <w:i/>
          <w:sz w:val="24"/>
          <w:szCs w:val="24"/>
        </w:rPr>
        <w:t xml:space="preserve">Zastávka je umístěna podél komunikace nad příkrým a vysokým svahem. Délka zastávky je 12,0 m, Od místa pro přecházení, které navazuje na nástupiště zastávky ve směru na Nejdek, se provede chodník šířky 1,25 m až k nástupišti. Délka nástupiště je 7,5 m, šířka 2,0 m. Ve svahu se provede betonová opěrná zeď se zábradlím. </w:t>
      </w:r>
    </w:p>
    <w:p w:rsidR="008D24C9" w:rsidRPr="008D24C9" w:rsidRDefault="008D24C9" w:rsidP="008D24C9">
      <w:pPr>
        <w:shd w:val="clear" w:color="auto" w:fill="FFFFFF"/>
        <w:spacing w:after="0" w:line="240" w:lineRule="auto"/>
        <w:jc w:val="both"/>
        <w:rPr>
          <w:rFonts w:ascii="Times New Roman" w:hAnsi="Times New Roman" w:cs="Times New Roman"/>
          <w:b/>
          <w:i/>
          <w:sz w:val="24"/>
          <w:szCs w:val="24"/>
        </w:rPr>
      </w:pPr>
      <w:r w:rsidRPr="008D24C9">
        <w:rPr>
          <w:rFonts w:ascii="Times New Roman" w:hAnsi="Times New Roman" w:cs="Times New Roman"/>
          <w:b/>
          <w:i/>
          <w:sz w:val="24"/>
          <w:szCs w:val="24"/>
        </w:rPr>
        <w:t xml:space="preserve">Provede se odříznutí asfaltového krytu v tloušťce 100 mm v délce 35,0 m a jeho vybourání. Vybuduje opěrná zeď. Podél komunikace se osadí betonové obrubníky, zbylé strany chodníku a nástupiště tvoří opěrná zeď. Spára mezi obrubníkem a odříznutým krytem se opatří asfaltovou zálivkou. </w:t>
      </w:r>
    </w:p>
    <w:p w:rsidR="008D24C9" w:rsidRPr="008D24C9" w:rsidRDefault="008D24C9" w:rsidP="008D24C9">
      <w:pPr>
        <w:shd w:val="clear" w:color="auto" w:fill="FFFFFF"/>
        <w:spacing w:after="0" w:line="240" w:lineRule="auto"/>
        <w:jc w:val="both"/>
        <w:rPr>
          <w:rFonts w:ascii="Times New Roman" w:hAnsi="Times New Roman" w:cs="Times New Roman"/>
          <w:b/>
          <w:i/>
          <w:sz w:val="24"/>
          <w:szCs w:val="24"/>
        </w:rPr>
      </w:pPr>
      <w:r w:rsidRPr="008D24C9">
        <w:rPr>
          <w:rFonts w:ascii="Times New Roman" w:hAnsi="Times New Roman" w:cs="Times New Roman"/>
          <w:b/>
          <w:i/>
          <w:sz w:val="24"/>
          <w:szCs w:val="24"/>
        </w:rPr>
        <w:t xml:space="preserve">Pak se provede konstrukce plochy chodníku a nástupiště z betonové dlažby. Podél nástupní hrany zastávky se provede pás z hladké dlažby šířky 500 mm a délky 12,0 m, který bude kontrastní s dlažbou chodníku. U předního okraje zastávky se provede signální pás z reliéfní dlažby kontrastní oproti barvě chodníku. Jeho šířka je 800 mm. </w:t>
      </w:r>
    </w:p>
    <w:p w:rsidR="008D24C9" w:rsidRPr="008D24C9" w:rsidRDefault="008D24C9" w:rsidP="008D24C9">
      <w:pPr>
        <w:shd w:val="clear" w:color="auto" w:fill="FFFFFF"/>
        <w:spacing w:after="0" w:line="240" w:lineRule="auto"/>
        <w:jc w:val="both"/>
        <w:rPr>
          <w:rFonts w:ascii="Times New Roman" w:hAnsi="Times New Roman" w:cs="Times New Roman"/>
          <w:b/>
          <w:i/>
          <w:sz w:val="24"/>
          <w:szCs w:val="24"/>
        </w:rPr>
      </w:pPr>
      <w:r w:rsidRPr="008D24C9">
        <w:rPr>
          <w:rFonts w:ascii="Times New Roman" w:hAnsi="Times New Roman" w:cs="Times New Roman"/>
          <w:b/>
          <w:i/>
          <w:sz w:val="24"/>
          <w:szCs w:val="24"/>
        </w:rPr>
        <w:t xml:space="preserve">Nástupní hrany budou z bezbariérových betonových obrubníků s převýšením +200 mm nad vozovkou. Jako příklad jsou opět uvedeny betonové obrubníky firmy CS BETON.  </w:t>
      </w:r>
    </w:p>
    <w:p w:rsidR="008D24C9" w:rsidRPr="008D24C9" w:rsidRDefault="008D24C9" w:rsidP="008D24C9">
      <w:pPr>
        <w:shd w:val="clear" w:color="auto" w:fill="FFFFFF"/>
        <w:spacing w:after="0" w:line="240" w:lineRule="auto"/>
        <w:jc w:val="both"/>
        <w:rPr>
          <w:rFonts w:ascii="Times New Roman" w:hAnsi="Times New Roman" w:cs="Times New Roman"/>
          <w:b/>
          <w:i/>
          <w:sz w:val="24"/>
          <w:szCs w:val="24"/>
        </w:rPr>
      </w:pPr>
      <w:r w:rsidRPr="008D24C9">
        <w:rPr>
          <w:rFonts w:ascii="Times New Roman" w:hAnsi="Times New Roman" w:cs="Times New Roman"/>
          <w:b/>
          <w:i/>
          <w:sz w:val="24"/>
          <w:szCs w:val="24"/>
        </w:rPr>
        <w:t xml:space="preserve">V km 0,002 se osadí náběhový obrubník H 25 150/250-150/1000 mm. Ten se napojí na stávající povrch s převýšením +20 mm nad vozovkou, na druhé straně obrubníku pak bude převýšení +150 mm. Dále se osadí obrubník HK 400/310-H 25/1000 mm a za ním pak obrubník HK 400/330-310/1000 mm. Následovat budou obrubníky HK 400/330/1000 mm v délce 12,0 m. Na opačné straně zastávky se osadí obrubník HK 400/330-310/1000 mm, za ním obrubník </w:t>
      </w:r>
      <w:r w:rsidRPr="008D24C9">
        <w:rPr>
          <w:rFonts w:ascii="Times New Roman" w:hAnsi="Times New Roman" w:cs="Times New Roman"/>
          <w:b/>
          <w:i/>
          <w:sz w:val="24"/>
          <w:szCs w:val="24"/>
        </w:rPr>
        <w:br/>
        <w:t xml:space="preserve">HK 400/310-H 25/1000 mm. Následovat budou obrubníky H 25 150/250/1000 mm s převýšením +150 mm, které tvoří hranu chodníku. Před místem pro přecházení se osadí náběhový obrubník </w:t>
      </w:r>
      <w:r w:rsidRPr="008D24C9">
        <w:rPr>
          <w:rFonts w:ascii="Times New Roman" w:hAnsi="Times New Roman" w:cs="Times New Roman"/>
          <w:b/>
          <w:i/>
          <w:sz w:val="24"/>
          <w:szCs w:val="24"/>
        </w:rPr>
        <w:br/>
      </w:r>
      <w:r w:rsidRPr="008D24C9">
        <w:rPr>
          <w:rFonts w:ascii="Times New Roman" w:hAnsi="Times New Roman" w:cs="Times New Roman"/>
          <w:b/>
          <w:i/>
          <w:sz w:val="24"/>
          <w:szCs w:val="24"/>
        </w:rPr>
        <w:lastRenderedPageBreak/>
        <w:t xml:space="preserve">H 25 150/250-150/1000 mm, který se napojí na obrubník místa pro přecházení H 25 150/250/1000 mm s převýšením +20 mm. </w:t>
      </w:r>
    </w:p>
    <w:p w:rsidR="008D24C9" w:rsidRPr="0051313D" w:rsidRDefault="008D24C9" w:rsidP="008D24C9">
      <w:pPr>
        <w:jc w:val="both"/>
      </w:pPr>
    </w:p>
    <w:p w:rsidR="008D24C9" w:rsidRPr="0051313D" w:rsidRDefault="008D24C9" w:rsidP="008D24C9">
      <w:pPr>
        <w:jc w:val="both"/>
      </w:pPr>
    </w:p>
    <w:p w:rsidR="008D24C9" w:rsidRPr="008D24C9" w:rsidRDefault="008D24C9" w:rsidP="008D24C9">
      <w:pPr>
        <w:shd w:val="clear" w:color="auto" w:fill="FFFFFF"/>
        <w:spacing w:after="0" w:line="240" w:lineRule="auto"/>
        <w:jc w:val="both"/>
        <w:rPr>
          <w:rFonts w:ascii="Times New Roman" w:hAnsi="Times New Roman" w:cs="Times New Roman"/>
          <w:b/>
          <w:sz w:val="24"/>
          <w:szCs w:val="24"/>
          <w:u w:val="single"/>
        </w:rPr>
      </w:pPr>
      <w:r w:rsidRPr="008D24C9">
        <w:rPr>
          <w:rFonts w:ascii="Times New Roman" w:hAnsi="Times New Roman" w:cs="Times New Roman"/>
          <w:b/>
          <w:sz w:val="24"/>
          <w:szCs w:val="24"/>
          <w:u w:val="single"/>
        </w:rPr>
        <w:t>Konstrukce chodníku a nástupiště</w:t>
      </w:r>
    </w:p>
    <w:p w:rsidR="008D24C9" w:rsidRPr="008D24C9" w:rsidRDefault="008D24C9" w:rsidP="008D24C9">
      <w:pPr>
        <w:jc w:val="both"/>
        <w:rPr>
          <w:rFonts w:ascii="Times New Roman" w:hAnsi="Times New Roman" w:cs="Times New Roman"/>
          <w:b/>
          <w:i/>
          <w:sz w:val="24"/>
          <w:szCs w:val="24"/>
        </w:rPr>
      </w:pPr>
      <w:r w:rsidRPr="008D24C9">
        <w:rPr>
          <w:rFonts w:ascii="Times New Roman" w:hAnsi="Times New Roman" w:cs="Times New Roman"/>
          <w:b/>
          <w:i/>
          <w:sz w:val="24"/>
          <w:szCs w:val="24"/>
        </w:rPr>
        <w:t xml:space="preserve">betonová dlažba </w:t>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t xml:space="preserve">DL I </w:t>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t xml:space="preserve">ČSN </w:t>
      </w:r>
      <w:proofErr w:type="gramStart"/>
      <w:r w:rsidRPr="008D24C9">
        <w:rPr>
          <w:rFonts w:ascii="Times New Roman" w:hAnsi="Times New Roman" w:cs="Times New Roman"/>
          <w:b/>
          <w:i/>
          <w:sz w:val="24"/>
          <w:szCs w:val="24"/>
        </w:rPr>
        <w:t>73 6131-1.část</w:t>
      </w:r>
      <w:proofErr w:type="gramEnd"/>
      <w:r w:rsidRPr="008D24C9">
        <w:rPr>
          <w:rFonts w:ascii="Times New Roman" w:hAnsi="Times New Roman" w:cs="Times New Roman"/>
          <w:b/>
          <w:i/>
          <w:sz w:val="24"/>
          <w:szCs w:val="24"/>
        </w:rPr>
        <w:t xml:space="preserve"> </w:t>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t xml:space="preserve">  </w:t>
      </w:r>
      <w:smartTag w:uri="urn:schemas-microsoft-com:office:smarttags" w:element="metricconverter">
        <w:smartTagPr>
          <w:attr w:name="ProductID" w:val="60 mm"/>
        </w:smartTagPr>
        <w:r w:rsidRPr="008D24C9">
          <w:rPr>
            <w:rFonts w:ascii="Times New Roman" w:hAnsi="Times New Roman" w:cs="Times New Roman"/>
            <w:b/>
            <w:i/>
            <w:sz w:val="24"/>
            <w:szCs w:val="24"/>
          </w:rPr>
          <w:t>60 mm</w:t>
        </w:r>
      </w:smartTag>
    </w:p>
    <w:p w:rsidR="008D24C9" w:rsidRPr="008D24C9" w:rsidRDefault="008D24C9" w:rsidP="008D24C9">
      <w:pPr>
        <w:jc w:val="both"/>
        <w:rPr>
          <w:rFonts w:ascii="Times New Roman" w:hAnsi="Times New Roman" w:cs="Times New Roman"/>
          <w:b/>
          <w:i/>
          <w:sz w:val="24"/>
          <w:szCs w:val="24"/>
        </w:rPr>
      </w:pPr>
      <w:r w:rsidRPr="008D24C9">
        <w:rPr>
          <w:rFonts w:ascii="Times New Roman" w:hAnsi="Times New Roman" w:cs="Times New Roman"/>
          <w:b/>
          <w:i/>
          <w:sz w:val="24"/>
          <w:szCs w:val="24"/>
        </w:rPr>
        <w:t>ložní vrstva dlažby</w:t>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t>L</w:t>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t xml:space="preserve">  </w:t>
      </w:r>
      <w:smartTag w:uri="urn:schemas-microsoft-com:office:smarttags" w:element="metricconverter">
        <w:smartTagPr>
          <w:attr w:name="ProductID" w:val="30 mm"/>
        </w:smartTagPr>
        <w:r w:rsidRPr="008D24C9">
          <w:rPr>
            <w:rFonts w:ascii="Times New Roman" w:hAnsi="Times New Roman" w:cs="Times New Roman"/>
            <w:b/>
            <w:i/>
            <w:sz w:val="24"/>
            <w:szCs w:val="24"/>
          </w:rPr>
          <w:t>30 mm</w:t>
        </w:r>
      </w:smartTag>
    </w:p>
    <w:p w:rsidR="008D24C9" w:rsidRPr="008D24C9" w:rsidRDefault="008D24C9" w:rsidP="008D24C9">
      <w:pPr>
        <w:jc w:val="both"/>
        <w:rPr>
          <w:rFonts w:ascii="Times New Roman" w:hAnsi="Times New Roman" w:cs="Times New Roman"/>
          <w:b/>
          <w:i/>
          <w:sz w:val="24"/>
          <w:szCs w:val="24"/>
        </w:rPr>
      </w:pPr>
      <w:r w:rsidRPr="008D24C9">
        <w:rPr>
          <w:rFonts w:ascii="Times New Roman" w:hAnsi="Times New Roman" w:cs="Times New Roman"/>
          <w:b/>
          <w:i/>
          <w:sz w:val="24"/>
          <w:szCs w:val="24"/>
        </w:rPr>
        <w:t xml:space="preserve">štěrkopísek </w:t>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t xml:space="preserve">ŠP </w:t>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t>ČSN EN 13242</w:t>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t>150 mm</w:t>
      </w:r>
    </w:p>
    <w:p w:rsidR="008D24C9" w:rsidRPr="008D24C9" w:rsidRDefault="008D24C9" w:rsidP="008D24C9">
      <w:pPr>
        <w:jc w:val="both"/>
        <w:rPr>
          <w:rFonts w:ascii="Times New Roman" w:hAnsi="Times New Roman" w:cs="Times New Roman"/>
          <w:b/>
          <w:i/>
          <w:sz w:val="24"/>
          <w:szCs w:val="24"/>
        </w:rPr>
      </w:pPr>
      <w:r w:rsidRPr="008D24C9">
        <w:rPr>
          <w:rFonts w:ascii="Times New Roman" w:hAnsi="Times New Roman" w:cs="Times New Roman"/>
          <w:b/>
          <w:i/>
          <w:sz w:val="24"/>
          <w:szCs w:val="24"/>
        </w:rPr>
        <w:t>celkem</w:t>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r>
      <w:r w:rsidRPr="008D24C9">
        <w:rPr>
          <w:rFonts w:ascii="Times New Roman" w:hAnsi="Times New Roman" w:cs="Times New Roman"/>
          <w:b/>
          <w:i/>
          <w:sz w:val="24"/>
          <w:szCs w:val="24"/>
        </w:rPr>
        <w:tab/>
      </w:r>
      <w:r>
        <w:rPr>
          <w:rFonts w:ascii="Times New Roman" w:hAnsi="Times New Roman" w:cs="Times New Roman"/>
          <w:b/>
          <w:i/>
          <w:sz w:val="24"/>
          <w:szCs w:val="24"/>
        </w:rPr>
        <w:tab/>
      </w:r>
      <w:r w:rsidRPr="008D24C9">
        <w:rPr>
          <w:rFonts w:ascii="Times New Roman" w:hAnsi="Times New Roman" w:cs="Times New Roman"/>
          <w:b/>
          <w:i/>
          <w:sz w:val="24"/>
          <w:szCs w:val="24"/>
        </w:rPr>
        <w:t>240 mm</w:t>
      </w:r>
    </w:p>
    <w:p w:rsidR="008D24C9" w:rsidRDefault="008D24C9" w:rsidP="008D24C9">
      <w:pPr>
        <w:jc w:val="both"/>
      </w:pPr>
    </w:p>
    <w:p w:rsidR="008D24C9" w:rsidRPr="008D24C9" w:rsidRDefault="008D24C9" w:rsidP="008D24C9">
      <w:pPr>
        <w:shd w:val="clear" w:color="auto" w:fill="FFFFFF"/>
        <w:spacing w:after="0" w:line="240" w:lineRule="auto"/>
        <w:jc w:val="both"/>
        <w:rPr>
          <w:rFonts w:ascii="Times New Roman" w:hAnsi="Times New Roman" w:cs="Times New Roman"/>
          <w:b/>
          <w:sz w:val="24"/>
          <w:szCs w:val="24"/>
          <w:u w:val="single"/>
        </w:rPr>
      </w:pPr>
      <w:r w:rsidRPr="008D24C9">
        <w:rPr>
          <w:rFonts w:ascii="Times New Roman" w:hAnsi="Times New Roman" w:cs="Times New Roman"/>
          <w:b/>
          <w:sz w:val="24"/>
          <w:szCs w:val="24"/>
          <w:u w:val="single"/>
        </w:rPr>
        <w:t>Opěrná stěna</w:t>
      </w:r>
    </w:p>
    <w:p w:rsidR="008D24C9" w:rsidRPr="008D24C9" w:rsidRDefault="008D24C9" w:rsidP="008D24C9">
      <w:pPr>
        <w:shd w:val="clear" w:color="auto" w:fill="FFFFFF"/>
        <w:spacing w:after="0" w:line="240" w:lineRule="auto"/>
        <w:jc w:val="both"/>
        <w:rPr>
          <w:rFonts w:ascii="Times New Roman" w:hAnsi="Times New Roman" w:cs="Times New Roman"/>
          <w:b/>
          <w:sz w:val="24"/>
          <w:szCs w:val="24"/>
          <w:u w:val="single"/>
        </w:rPr>
      </w:pPr>
      <w:r w:rsidRPr="008D24C9">
        <w:rPr>
          <w:rFonts w:ascii="Times New Roman" w:hAnsi="Times New Roman" w:cs="Times New Roman"/>
          <w:b/>
          <w:sz w:val="24"/>
          <w:szCs w:val="24"/>
          <w:u w:val="single"/>
        </w:rPr>
        <w:t>Výkopy</w:t>
      </w:r>
    </w:p>
    <w:p w:rsidR="008D24C9" w:rsidRPr="00A04934" w:rsidRDefault="008D24C9" w:rsidP="00A04934">
      <w:pPr>
        <w:pStyle w:val="499textodrazeny"/>
        <w:ind w:left="0"/>
        <w:jc w:val="both"/>
        <w:rPr>
          <w:rFonts w:ascii="Times New Roman" w:hAnsi="Times New Roman" w:cs="Times New Roman"/>
          <w:b/>
          <w:i/>
          <w:color w:val="auto"/>
          <w:sz w:val="24"/>
          <w:szCs w:val="24"/>
        </w:rPr>
      </w:pPr>
      <w:r w:rsidRPr="00A04934">
        <w:rPr>
          <w:rFonts w:ascii="Times New Roman" w:hAnsi="Times New Roman" w:cs="Times New Roman"/>
          <w:b/>
          <w:i/>
          <w:color w:val="auto"/>
          <w:sz w:val="24"/>
          <w:szCs w:val="24"/>
        </w:rPr>
        <w:t xml:space="preserve">- pažený výkop v zemině tř. </w:t>
      </w:r>
      <w:proofErr w:type="gramStart"/>
      <w:r w:rsidRPr="00A04934">
        <w:rPr>
          <w:rFonts w:ascii="Times New Roman" w:hAnsi="Times New Roman" w:cs="Times New Roman"/>
          <w:b/>
          <w:i/>
          <w:color w:val="auto"/>
          <w:sz w:val="24"/>
          <w:szCs w:val="24"/>
        </w:rPr>
        <w:t>těžitelnosti</w:t>
      </w:r>
      <w:proofErr w:type="gramEnd"/>
      <w:r w:rsidRPr="00A04934">
        <w:rPr>
          <w:rFonts w:ascii="Times New Roman" w:hAnsi="Times New Roman" w:cs="Times New Roman"/>
          <w:b/>
          <w:i/>
          <w:color w:val="auto"/>
          <w:sz w:val="24"/>
          <w:szCs w:val="24"/>
        </w:rPr>
        <w:t xml:space="preserve"> 3 , pažení záporové z ocelových válcovaných profilů I120 s bedněním z fošen tl.50mm</w:t>
      </w:r>
    </w:p>
    <w:p w:rsidR="00A04934" w:rsidRDefault="00A04934" w:rsidP="008D24C9">
      <w:pPr>
        <w:shd w:val="clear" w:color="auto" w:fill="FFFFFF"/>
        <w:spacing w:after="0" w:line="240" w:lineRule="auto"/>
        <w:jc w:val="both"/>
        <w:rPr>
          <w:rFonts w:ascii="Times New Roman" w:hAnsi="Times New Roman" w:cs="Times New Roman"/>
          <w:b/>
          <w:sz w:val="24"/>
          <w:szCs w:val="24"/>
          <w:u w:val="single"/>
        </w:rPr>
      </w:pPr>
    </w:p>
    <w:p w:rsidR="008D24C9" w:rsidRPr="008D24C9" w:rsidRDefault="008D24C9" w:rsidP="008D24C9">
      <w:pPr>
        <w:shd w:val="clear" w:color="auto" w:fill="FFFFFF"/>
        <w:spacing w:after="0" w:line="240" w:lineRule="auto"/>
        <w:jc w:val="both"/>
        <w:rPr>
          <w:rFonts w:ascii="Times New Roman" w:hAnsi="Times New Roman" w:cs="Times New Roman"/>
          <w:b/>
          <w:sz w:val="24"/>
          <w:szCs w:val="24"/>
          <w:u w:val="single"/>
        </w:rPr>
      </w:pPr>
      <w:r w:rsidRPr="008D24C9">
        <w:rPr>
          <w:rFonts w:ascii="Times New Roman" w:hAnsi="Times New Roman" w:cs="Times New Roman"/>
          <w:b/>
          <w:sz w:val="24"/>
          <w:szCs w:val="24"/>
          <w:u w:val="single"/>
        </w:rPr>
        <w:t>Podkladní beton</w:t>
      </w:r>
    </w:p>
    <w:p w:rsidR="008D24C9" w:rsidRPr="00A04934" w:rsidRDefault="008D24C9" w:rsidP="00A04934">
      <w:pPr>
        <w:pStyle w:val="499textodrazeny"/>
        <w:ind w:left="0"/>
        <w:jc w:val="both"/>
        <w:rPr>
          <w:rFonts w:ascii="Times New Roman" w:hAnsi="Times New Roman" w:cs="Times New Roman"/>
          <w:b/>
          <w:i/>
          <w:color w:val="auto"/>
          <w:sz w:val="24"/>
          <w:szCs w:val="24"/>
        </w:rPr>
      </w:pPr>
      <w:r w:rsidRPr="00A04934">
        <w:rPr>
          <w:rFonts w:ascii="Times New Roman" w:hAnsi="Times New Roman" w:cs="Times New Roman"/>
          <w:b/>
          <w:i/>
          <w:color w:val="auto"/>
          <w:sz w:val="24"/>
          <w:szCs w:val="24"/>
        </w:rPr>
        <w:t>- C12/15  tl.50mm</w:t>
      </w:r>
    </w:p>
    <w:p w:rsidR="008D24C9" w:rsidRPr="00A04934" w:rsidRDefault="008D24C9" w:rsidP="00A04934">
      <w:pPr>
        <w:pStyle w:val="499textodrazeny"/>
        <w:ind w:left="0"/>
        <w:jc w:val="both"/>
        <w:rPr>
          <w:rFonts w:ascii="Times New Roman" w:hAnsi="Times New Roman" w:cs="Times New Roman"/>
          <w:b/>
          <w:i/>
          <w:color w:val="auto"/>
          <w:sz w:val="24"/>
          <w:szCs w:val="24"/>
        </w:rPr>
      </w:pPr>
      <w:r w:rsidRPr="00A04934">
        <w:rPr>
          <w:rFonts w:ascii="Times New Roman" w:hAnsi="Times New Roman" w:cs="Times New Roman"/>
          <w:b/>
          <w:i/>
          <w:color w:val="auto"/>
          <w:sz w:val="24"/>
          <w:szCs w:val="24"/>
        </w:rPr>
        <w:t>- před realizací betonu prověřit únosnost základové spáry</w:t>
      </w:r>
    </w:p>
    <w:p w:rsidR="008D24C9" w:rsidRPr="00A04934" w:rsidRDefault="008D24C9" w:rsidP="00A04934">
      <w:pPr>
        <w:pStyle w:val="499textodrazeny"/>
        <w:ind w:left="0"/>
        <w:jc w:val="both"/>
        <w:rPr>
          <w:rFonts w:ascii="Times New Roman" w:hAnsi="Times New Roman" w:cs="Times New Roman"/>
          <w:b/>
          <w:i/>
          <w:color w:val="auto"/>
          <w:sz w:val="24"/>
          <w:szCs w:val="24"/>
        </w:rPr>
      </w:pPr>
      <w:r w:rsidRPr="00A04934">
        <w:rPr>
          <w:rFonts w:ascii="Times New Roman" w:hAnsi="Times New Roman" w:cs="Times New Roman"/>
          <w:b/>
          <w:i/>
          <w:color w:val="auto"/>
          <w:sz w:val="24"/>
          <w:szCs w:val="24"/>
        </w:rPr>
        <w:t xml:space="preserve">- min. 120 </w:t>
      </w:r>
      <w:proofErr w:type="spellStart"/>
      <w:r w:rsidRPr="00A04934">
        <w:rPr>
          <w:rFonts w:ascii="Times New Roman" w:hAnsi="Times New Roman" w:cs="Times New Roman"/>
          <w:b/>
          <w:i/>
          <w:color w:val="auto"/>
          <w:sz w:val="24"/>
          <w:szCs w:val="24"/>
        </w:rPr>
        <w:t>kPa</w:t>
      </w:r>
      <w:proofErr w:type="spellEnd"/>
      <w:r w:rsidRPr="00A04934">
        <w:rPr>
          <w:rFonts w:ascii="Times New Roman" w:hAnsi="Times New Roman" w:cs="Times New Roman"/>
          <w:b/>
          <w:i/>
          <w:color w:val="auto"/>
          <w:sz w:val="24"/>
          <w:szCs w:val="24"/>
        </w:rPr>
        <w:t xml:space="preserve"> , v případě nižší únosnosti rozšířit plochu a </w:t>
      </w:r>
      <w:proofErr w:type="spellStart"/>
      <w:r w:rsidRPr="00A04934">
        <w:rPr>
          <w:rFonts w:ascii="Times New Roman" w:hAnsi="Times New Roman" w:cs="Times New Roman"/>
          <w:b/>
          <w:i/>
          <w:color w:val="auto"/>
          <w:sz w:val="24"/>
          <w:szCs w:val="24"/>
        </w:rPr>
        <w:t>tl</w:t>
      </w:r>
      <w:proofErr w:type="spellEnd"/>
      <w:r w:rsidRPr="00A04934">
        <w:rPr>
          <w:rFonts w:ascii="Times New Roman" w:hAnsi="Times New Roman" w:cs="Times New Roman"/>
          <w:b/>
          <w:i/>
          <w:color w:val="auto"/>
          <w:sz w:val="24"/>
          <w:szCs w:val="24"/>
        </w:rPr>
        <w:t xml:space="preserve">. </w:t>
      </w:r>
      <w:proofErr w:type="gramStart"/>
      <w:r w:rsidRPr="00A04934">
        <w:rPr>
          <w:rFonts w:ascii="Times New Roman" w:hAnsi="Times New Roman" w:cs="Times New Roman"/>
          <w:b/>
          <w:i/>
          <w:color w:val="auto"/>
          <w:sz w:val="24"/>
          <w:szCs w:val="24"/>
        </w:rPr>
        <w:t>podkladního</w:t>
      </w:r>
      <w:proofErr w:type="gramEnd"/>
      <w:r w:rsidRPr="00A04934">
        <w:rPr>
          <w:rFonts w:ascii="Times New Roman" w:hAnsi="Times New Roman" w:cs="Times New Roman"/>
          <w:b/>
          <w:i/>
          <w:color w:val="auto"/>
          <w:sz w:val="24"/>
          <w:szCs w:val="24"/>
        </w:rPr>
        <w:t xml:space="preserve"> betonu</w:t>
      </w:r>
    </w:p>
    <w:p w:rsidR="008D24C9" w:rsidRPr="00A04934" w:rsidRDefault="008D24C9" w:rsidP="00A04934">
      <w:pPr>
        <w:pStyle w:val="499textodrazeny"/>
        <w:ind w:left="0"/>
        <w:jc w:val="both"/>
        <w:rPr>
          <w:rFonts w:ascii="Times New Roman" w:hAnsi="Times New Roman" w:cs="Times New Roman"/>
          <w:b/>
          <w:i/>
          <w:color w:val="auto"/>
          <w:sz w:val="24"/>
          <w:szCs w:val="24"/>
        </w:rPr>
      </w:pPr>
      <w:r w:rsidRPr="00A04934">
        <w:rPr>
          <w:rFonts w:ascii="Times New Roman" w:hAnsi="Times New Roman" w:cs="Times New Roman"/>
          <w:b/>
          <w:i/>
          <w:color w:val="auto"/>
          <w:sz w:val="24"/>
          <w:szCs w:val="24"/>
        </w:rPr>
        <w:t xml:space="preserve">- uvažovat </w:t>
      </w:r>
      <w:proofErr w:type="gramStart"/>
      <w:r w:rsidRPr="00A04934">
        <w:rPr>
          <w:rFonts w:ascii="Times New Roman" w:hAnsi="Times New Roman" w:cs="Times New Roman"/>
          <w:b/>
          <w:i/>
          <w:color w:val="auto"/>
          <w:sz w:val="24"/>
          <w:szCs w:val="24"/>
        </w:rPr>
        <w:t>cca. o 50%</w:t>
      </w:r>
      <w:proofErr w:type="gramEnd"/>
      <w:r w:rsidRPr="00A04934">
        <w:rPr>
          <w:rFonts w:ascii="Times New Roman" w:hAnsi="Times New Roman" w:cs="Times New Roman"/>
          <w:b/>
          <w:i/>
          <w:color w:val="auto"/>
          <w:sz w:val="24"/>
          <w:szCs w:val="24"/>
        </w:rPr>
        <w:t xml:space="preserve"> betonu C 12/15 navíc</w:t>
      </w:r>
    </w:p>
    <w:p w:rsidR="008D24C9" w:rsidRDefault="008D24C9" w:rsidP="008D24C9"/>
    <w:p w:rsidR="008D24C9" w:rsidRPr="008D24C9" w:rsidRDefault="008D24C9" w:rsidP="008D24C9">
      <w:pPr>
        <w:shd w:val="clear" w:color="auto" w:fill="FFFFFF"/>
        <w:spacing w:after="0" w:line="240" w:lineRule="auto"/>
        <w:jc w:val="both"/>
        <w:rPr>
          <w:rFonts w:ascii="Times New Roman" w:hAnsi="Times New Roman" w:cs="Times New Roman"/>
          <w:b/>
          <w:sz w:val="24"/>
          <w:szCs w:val="24"/>
          <w:u w:val="single"/>
        </w:rPr>
      </w:pPr>
      <w:r w:rsidRPr="008D24C9">
        <w:rPr>
          <w:rFonts w:ascii="Times New Roman" w:hAnsi="Times New Roman" w:cs="Times New Roman"/>
          <w:b/>
          <w:sz w:val="24"/>
          <w:szCs w:val="24"/>
          <w:u w:val="single"/>
        </w:rPr>
        <w:t>Stěna</w:t>
      </w:r>
    </w:p>
    <w:p w:rsidR="008D24C9" w:rsidRPr="00A04934" w:rsidRDefault="008D24C9" w:rsidP="00A04934">
      <w:pPr>
        <w:pStyle w:val="499textodrazeny"/>
        <w:ind w:left="0"/>
        <w:jc w:val="both"/>
        <w:rPr>
          <w:rFonts w:ascii="Times New Roman" w:hAnsi="Times New Roman" w:cs="Times New Roman"/>
          <w:b/>
          <w:i/>
          <w:color w:val="auto"/>
          <w:sz w:val="24"/>
          <w:szCs w:val="24"/>
        </w:rPr>
      </w:pPr>
      <w:r w:rsidRPr="00A04934">
        <w:rPr>
          <w:rFonts w:ascii="Times New Roman" w:hAnsi="Times New Roman" w:cs="Times New Roman"/>
          <w:b/>
          <w:i/>
          <w:color w:val="auto"/>
          <w:sz w:val="24"/>
          <w:szCs w:val="24"/>
        </w:rPr>
        <w:t>- beton C 30/37-XC2, XF1 , ocel B500B, min. krytí 30mm</w:t>
      </w:r>
    </w:p>
    <w:p w:rsidR="008D24C9" w:rsidRPr="00A04934" w:rsidRDefault="008D24C9" w:rsidP="00A04934">
      <w:pPr>
        <w:pStyle w:val="499textodrazeny"/>
        <w:ind w:left="0"/>
        <w:jc w:val="both"/>
        <w:rPr>
          <w:rFonts w:ascii="Times New Roman" w:hAnsi="Times New Roman" w:cs="Times New Roman"/>
          <w:b/>
          <w:i/>
          <w:color w:val="auto"/>
          <w:sz w:val="24"/>
          <w:szCs w:val="24"/>
        </w:rPr>
      </w:pPr>
      <w:r w:rsidRPr="00A04934">
        <w:rPr>
          <w:rFonts w:ascii="Times New Roman" w:hAnsi="Times New Roman" w:cs="Times New Roman"/>
          <w:b/>
          <w:i/>
          <w:color w:val="auto"/>
          <w:sz w:val="24"/>
          <w:szCs w:val="24"/>
        </w:rPr>
        <w:t>- dilatace š. 20mm, spáry vyplněna PU tmelem</w:t>
      </w:r>
    </w:p>
    <w:p w:rsidR="008D24C9" w:rsidRPr="00A04934" w:rsidRDefault="008D24C9" w:rsidP="00A04934">
      <w:pPr>
        <w:pStyle w:val="499textodrazeny"/>
        <w:ind w:left="0"/>
        <w:jc w:val="both"/>
        <w:rPr>
          <w:rFonts w:ascii="Times New Roman" w:hAnsi="Times New Roman" w:cs="Times New Roman"/>
          <w:b/>
          <w:i/>
          <w:color w:val="auto"/>
          <w:sz w:val="24"/>
          <w:szCs w:val="24"/>
        </w:rPr>
      </w:pPr>
    </w:p>
    <w:p w:rsidR="008D24C9" w:rsidRPr="00A04934" w:rsidRDefault="008D24C9" w:rsidP="00A04934">
      <w:pPr>
        <w:pStyle w:val="499textodrazeny"/>
        <w:ind w:left="0"/>
        <w:jc w:val="both"/>
        <w:rPr>
          <w:rFonts w:ascii="Times New Roman" w:hAnsi="Times New Roman" w:cs="Times New Roman"/>
          <w:b/>
          <w:i/>
          <w:color w:val="auto"/>
          <w:sz w:val="24"/>
          <w:szCs w:val="24"/>
        </w:rPr>
      </w:pPr>
      <w:r w:rsidRPr="00A04934">
        <w:rPr>
          <w:rFonts w:ascii="Times New Roman" w:hAnsi="Times New Roman" w:cs="Times New Roman"/>
          <w:b/>
          <w:i/>
          <w:color w:val="auto"/>
          <w:sz w:val="24"/>
          <w:szCs w:val="24"/>
        </w:rPr>
        <w:t>- Povrchová úprava betonu - viditelné části</w:t>
      </w:r>
    </w:p>
    <w:p w:rsidR="008D24C9" w:rsidRPr="00A04934" w:rsidRDefault="008D24C9" w:rsidP="00A04934">
      <w:pPr>
        <w:pStyle w:val="499textodrazeny"/>
        <w:ind w:left="0"/>
        <w:jc w:val="both"/>
        <w:rPr>
          <w:rFonts w:ascii="Times New Roman" w:hAnsi="Times New Roman" w:cs="Times New Roman"/>
          <w:b/>
          <w:i/>
          <w:color w:val="auto"/>
          <w:sz w:val="24"/>
          <w:szCs w:val="24"/>
        </w:rPr>
      </w:pPr>
      <w:r w:rsidRPr="00A04934">
        <w:rPr>
          <w:rFonts w:ascii="Times New Roman" w:hAnsi="Times New Roman" w:cs="Times New Roman"/>
          <w:b/>
          <w:i/>
          <w:color w:val="auto"/>
          <w:sz w:val="24"/>
          <w:szCs w:val="24"/>
        </w:rPr>
        <w:t xml:space="preserve">- odmaštění povrchu ( např. tlaková voda s přídavkem </w:t>
      </w:r>
      <w:proofErr w:type="gramStart"/>
      <w:r w:rsidRPr="00A04934">
        <w:rPr>
          <w:rFonts w:ascii="Times New Roman" w:hAnsi="Times New Roman" w:cs="Times New Roman"/>
          <w:b/>
          <w:i/>
          <w:color w:val="auto"/>
          <w:sz w:val="24"/>
          <w:szCs w:val="24"/>
        </w:rPr>
        <w:t>saponátu )</w:t>
      </w:r>
      <w:proofErr w:type="gramEnd"/>
    </w:p>
    <w:p w:rsidR="008D24C9" w:rsidRPr="00A04934" w:rsidRDefault="008D24C9" w:rsidP="00A04934">
      <w:pPr>
        <w:pStyle w:val="499textodrazeny"/>
        <w:ind w:left="0"/>
        <w:jc w:val="both"/>
        <w:rPr>
          <w:rFonts w:ascii="Times New Roman" w:hAnsi="Times New Roman" w:cs="Times New Roman"/>
          <w:b/>
          <w:i/>
          <w:color w:val="auto"/>
          <w:sz w:val="24"/>
          <w:szCs w:val="24"/>
        </w:rPr>
      </w:pPr>
      <w:r w:rsidRPr="00A04934">
        <w:rPr>
          <w:rFonts w:ascii="Times New Roman" w:hAnsi="Times New Roman" w:cs="Times New Roman"/>
          <w:b/>
          <w:i/>
          <w:color w:val="auto"/>
          <w:sz w:val="24"/>
          <w:szCs w:val="24"/>
        </w:rPr>
        <w:t>- napuštění penetračním nátěrem</w:t>
      </w:r>
    </w:p>
    <w:p w:rsidR="008D24C9" w:rsidRPr="00A04934" w:rsidRDefault="008D24C9" w:rsidP="00A04934">
      <w:pPr>
        <w:pStyle w:val="499textodrazeny"/>
        <w:ind w:left="0"/>
        <w:jc w:val="both"/>
        <w:rPr>
          <w:rFonts w:ascii="Times New Roman" w:hAnsi="Times New Roman" w:cs="Times New Roman"/>
          <w:b/>
          <w:i/>
          <w:color w:val="auto"/>
          <w:sz w:val="24"/>
          <w:szCs w:val="24"/>
        </w:rPr>
      </w:pPr>
      <w:r w:rsidRPr="00A04934">
        <w:rPr>
          <w:rFonts w:ascii="Times New Roman" w:hAnsi="Times New Roman" w:cs="Times New Roman"/>
          <w:b/>
          <w:i/>
          <w:color w:val="auto"/>
          <w:sz w:val="24"/>
          <w:szCs w:val="24"/>
        </w:rPr>
        <w:t>- hydrofobní transparentní nátěr na bázi reaktivního silanu s odolností</w:t>
      </w:r>
    </w:p>
    <w:p w:rsidR="008D24C9" w:rsidRPr="00A04934" w:rsidRDefault="008D24C9" w:rsidP="00A04934">
      <w:pPr>
        <w:pStyle w:val="499textodrazeny"/>
        <w:ind w:left="0"/>
        <w:jc w:val="both"/>
        <w:rPr>
          <w:rFonts w:ascii="Times New Roman" w:hAnsi="Times New Roman" w:cs="Times New Roman"/>
          <w:b/>
          <w:i/>
          <w:color w:val="auto"/>
          <w:sz w:val="24"/>
          <w:szCs w:val="24"/>
        </w:rPr>
      </w:pPr>
      <w:r w:rsidRPr="00A04934">
        <w:rPr>
          <w:rFonts w:ascii="Times New Roman" w:hAnsi="Times New Roman" w:cs="Times New Roman"/>
          <w:b/>
          <w:i/>
          <w:color w:val="auto"/>
          <w:sz w:val="24"/>
          <w:szCs w:val="24"/>
        </w:rPr>
        <w:t xml:space="preserve">  proti rozmrazovacím solím</w:t>
      </w:r>
    </w:p>
    <w:p w:rsidR="008D24C9" w:rsidRDefault="008D24C9" w:rsidP="008D24C9"/>
    <w:p w:rsidR="008D24C9" w:rsidRPr="008D24C9" w:rsidRDefault="008D24C9" w:rsidP="008D24C9">
      <w:pPr>
        <w:shd w:val="clear" w:color="auto" w:fill="FFFFFF"/>
        <w:spacing w:after="0" w:line="240" w:lineRule="auto"/>
        <w:jc w:val="both"/>
        <w:rPr>
          <w:rFonts w:ascii="Times New Roman" w:hAnsi="Times New Roman" w:cs="Times New Roman"/>
          <w:b/>
          <w:sz w:val="24"/>
          <w:szCs w:val="24"/>
          <w:u w:val="single"/>
        </w:rPr>
      </w:pPr>
      <w:r w:rsidRPr="008D24C9">
        <w:rPr>
          <w:rFonts w:ascii="Times New Roman" w:hAnsi="Times New Roman" w:cs="Times New Roman"/>
          <w:b/>
          <w:sz w:val="24"/>
          <w:szCs w:val="24"/>
          <w:u w:val="single"/>
        </w:rPr>
        <w:t>Drenáž</w:t>
      </w:r>
    </w:p>
    <w:p w:rsidR="008D24C9" w:rsidRPr="00A04934" w:rsidRDefault="008D24C9" w:rsidP="00A04934">
      <w:pPr>
        <w:pStyle w:val="499textodrazeny"/>
        <w:ind w:left="0"/>
        <w:jc w:val="both"/>
        <w:rPr>
          <w:rFonts w:ascii="Times New Roman" w:hAnsi="Times New Roman" w:cs="Times New Roman"/>
          <w:b/>
          <w:i/>
          <w:color w:val="auto"/>
          <w:sz w:val="24"/>
          <w:szCs w:val="24"/>
        </w:rPr>
      </w:pPr>
      <w:r w:rsidRPr="00A04934">
        <w:rPr>
          <w:rFonts w:ascii="Times New Roman" w:hAnsi="Times New Roman" w:cs="Times New Roman"/>
          <w:b/>
          <w:i/>
          <w:color w:val="auto"/>
          <w:sz w:val="24"/>
          <w:szCs w:val="24"/>
        </w:rPr>
        <w:t>- drenážní potrubí DN100 uloženo do štěrkopískového obsypu 300/200mm</w:t>
      </w:r>
    </w:p>
    <w:p w:rsidR="008D24C9" w:rsidRPr="00A04934" w:rsidRDefault="008D24C9" w:rsidP="00A04934">
      <w:pPr>
        <w:pStyle w:val="499textodrazeny"/>
        <w:ind w:left="0"/>
        <w:jc w:val="both"/>
        <w:rPr>
          <w:rFonts w:ascii="Times New Roman" w:hAnsi="Times New Roman" w:cs="Times New Roman"/>
          <w:b/>
          <w:i/>
          <w:color w:val="auto"/>
          <w:sz w:val="24"/>
          <w:szCs w:val="24"/>
        </w:rPr>
      </w:pPr>
      <w:r w:rsidRPr="00A04934">
        <w:rPr>
          <w:rFonts w:ascii="Times New Roman" w:hAnsi="Times New Roman" w:cs="Times New Roman"/>
          <w:b/>
          <w:i/>
          <w:color w:val="auto"/>
          <w:sz w:val="24"/>
          <w:szCs w:val="24"/>
        </w:rPr>
        <w:t xml:space="preserve">  obaleného </w:t>
      </w:r>
      <w:proofErr w:type="spellStart"/>
      <w:r w:rsidRPr="00A04934">
        <w:rPr>
          <w:rFonts w:ascii="Times New Roman" w:hAnsi="Times New Roman" w:cs="Times New Roman"/>
          <w:b/>
          <w:i/>
          <w:color w:val="auto"/>
          <w:sz w:val="24"/>
          <w:szCs w:val="24"/>
        </w:rPr>
        <w:t>geotextílií</w:t>
      </w:r>
      <w:proofErr w:type="spellEnd"/>
      <w:r w:rsidRPr="00A04934">
        <w:rPr>
          <w:rFonts w:ascii="Times New Roman" w:hAnsi="Times New Roman" w:cs="Times New Roman"/>
          <w:b/>
          <w:i/>
          <w:color w:val="auto"/>
          <w:sz w:val="24"/>
          <w:szCs w:val="24"/>
        </w:rPr>
        <w:t xml:space="preserve"> </w:t>
      </w:r>
    </w:p>
    <w:p w:rsidR="008D24C9" w:rsidRPr="00A04934" w:rsidRDefault="008D24C9" w:rsidP="00A04934">
      <w:pPr>
        <w:pStyle w:val="499textodrazeny"/>
        <w:ind w:left="0"/>
        <w:jc w:val="both"/>
        <w:rPr>
          <w:rFonts w:ascii="Times New Roman" w:hAnsi="Times New Roman" w:cs="Times New Roman"/>
          <w:b/>
          <w:i/>
          <w:color w:val="auto"/>
          <w:sz w:val="24"/>
          <w:szCs w:val="24"/>
        </w:rPr>
      </w:pPr>
      <w:r w:rsidRPr="00A04934">
        <w:rPr>
          <w:rFonts w:ascii="Times New Roman" w:hAnsi="Times New Roman" w:cs="Times New Roman"/>
          <w:b/>
          <w:i/>
          <w:color w:val="auto"/>
          <w:sz w:val="24"/>
          <w:szCs w:val="24"/>
        </w:rPr>
        <w:t>- izolace prostoru za stěnou nopovaná fólie volně položená výšky 8mm</w:t>
      </w:r>
    </w:p>
    <w:p w:rsidR="00A04934" w:rsidRDefault="00A04934" w:rsidP="008D24C9">
      <w:pPr>
        <w:shd w:val="clear" w:color="auto" w:fill="FFFFFF"/>
        <w:spacing w:after="0" w:line="240" w:lineRule="auto"/>
        <w:jc w:val="both"/>
        <w:rPr>
          <w:rFonts w:ascii="Times New Roman" w:hAnsi="Times New Roman" w:cs="Times New Roman"/>
          <w:b/>
          <w:sz w:val="24"/>
          <w:szCs w:val="24"/>
          <w:u w:val="single"/>
        </w:rPr>
      </w:pPr>
    </w:p>
    <w:p w:rsidR="008D24C9" w:rsidRPr="008D24C9" w:rsidRDefault="008D24C9" w:rsidP="008D24C9">
      <w:pPr>
        <w:shd w:val="clear" w:color="auto" w:fill="FFFFFF"/>
        <w:spacing w:after="0" w:line="240" w:lineRule="auto"/>
        <w:jc w:val="both"/>
        <w:rPr>
          <w:rFonts w:ascii="Times New Roman" w:hAnsi="Times New Roman" w:cs="Times New Roman"/>
          <w:b/>
          <w:sz w:val="24"/>
          <w:szCs w:val="24"/>
          <w:u w:val="single"/>
        </w:rPr>
      </w:pPr>
      <w:r w:rsidRPr="008D24C9">
        <w:rPr>
          <w:rFonts w:ascii="Times New Roman" w:hAnsi="Times New Roman" w:cs="Times New Roman"/>
          <w:b/>
          <w:sz w:val="24"/>
          <w:szCs w:val="24"/>
          <w:u w:val="single"/>
        </w:rPr>
        <w:t>2. Zábradlí</w:t>
      </w:r>
    </w:p>
    <w:p w:rsidR="008D24C9" w:rsidRPr="00A04934" w:rsidRDefault="008D24C9" w:rsidP="00A04934">
      <w:pPr>
        <w:pStyle w:val="499textodrazeny"/>
        <w:ind w:left="0"/>
        <w:jc w:val="both"/>
        <w:rPr>
          <w:rFonts w:ascii="Times New Roman" w:hAnsi="Times New Roman" w:cs="Times New Roman"/>
          <w:b/>
          <w:i/>
          <w:color w:val="auto"/>
          <w:sz w:val="24"/>
          <w:szCs w:val="24"/>
        </w:rPr>
      </w:pPr>
      <w:r w:rsidRPr="00A04934">
        <w:rPr>
          <w:rFonts w:ascii="Times New Roman" w:hAnsi="Times New Roman" w:cs="Times New Roman"/>
          <w:b/>
          <w:i/>
          <w:color w:val="auto"/>
          <w:sz w:val="24"/>
          <w:szCs w:val="24"/>
        </w:rPr>
        <w:t>- ocelové výšky 1000mm sloupkové se svislou výplní</w:t>
      </w:r>
    </w:p>
    <w:p w:rsidR="008D24C9" w:rsidRPr="00A04934" w:rsidRDefault="008D24C9" w:rsidP="00A04934">
      <w:pPr>
        <w:pStyle w:val="499textodrazeny"/>
        <w:ind w:left="0"/>
        <w:jc w:val="both"/>
        <w:rPr>
          <w:rFonts w:ascii="Times New Roman" w:hAnsi="Times New Roman" w:cs="Times New Roman"/>
          <w:b/>
          <w:i/>
          <w:color w:val="auto"/>
          <w:sz w:val="24"/>
          <w:szCs w:val="24"/>
        </w:rPr>
      </w:pPr>
      <w:r w:rsidRPr="00A04934">
        <w:rPr>
          <w:rFonts w:ascii="Times New Roman" w:hAnsi="Times New Roman" w:cs="Times New Roman"/>
          <w:b/>
          <w:i/>
          <w:color w:val="auto"/>
          <w:sz w:val="24"/>
          <w:szCs w:val="24"/>
        </w:rPr>
        <w:t>- ocel S235 JR</w:t>
      </w:r>
    </w:p>
    <w:p w:rsidR="008D24C9" w:rsidRPr="00A04934" w:rsidRDefault="008D24C9" w:rsidP="00A04934">
      <w:pPr>
        <w:pStyle w:val="499textodrazeny"/>
        <w:ind w:left="0"/>
        <w:jc w:val="both"/>
        <w:rPr>
          <w:rFonts w:ascii="Times New Roman" w:hAnsi="Times New Roman" w:cs="Times New Roman"/>
          <w:b/>
          <w:i/>
          <w:color w:val="auto"/>
          <w:sz w:val="24"/>
          <w:szCs w:val="24"/>
        </w:rPr>
      </w:pPr>
      <w:r w:rsidRPr="00A04934">
        <w:rPr>
          <w:rFonts w:ascii="Times New Roman" w:hAnsi="Times New Roman" w:cs="Times New Roman"/>
          <w:b/>
          <w:i/>
          <w:color w:val="auto"/>
          <w:sz w:val="24"/>
          <w:szCs w:val="24"/>
        </w:rPr>
        <w:lastRenderedPageBreak/>
        <w:t>- povrchová úprava žárové zinkování ( 40µm )</w:t>
      </w:r>
    </w:p>
    <w:p w:rsidR="008D24C9" w:rsidRPr="00A04934" w:rsidRDefault="008D24C9" w:rsidP="00A04934">
      <w:pPr>
        <w:pStyle w:val="499textodrazeny"/>
        <w:ind w:left="0"/>
        <w:jc w:val="both"/>
        <w:rPr>
          <w:rFonts w:ascii="Times New Roman" w:hAnsi="Times New Roman" w:cs="Times New Roman"/>
          <w:b/>
          <w:i/>
          <w:color w:val="auto"/>
          <w:sz w:val="24"/>
          <w:szCs w:val="24"/>
        </w:rPr>
      </w:pPr>
    </w:p>
    <w:p w:rsidR="008D24C9" w:rsidRPr="00A04934" w:rsidRDefault="008D24C9" w:rsidP="00A04934">
      <w:pPr>
        <w:pStyle w:val="499textodrazeny"/>
        <w:ind w:left="0"/>
        <w:jc w:val="both"/>
        <w:rPr>
          <w:rFonts w:ascii="Times New Roman" w:hAnsi="Times New Roman" w:cs="Times New Roman"/>
          <w:b/>
          <w:i/>
          <w:color w:val="auto"/>
          <w:sz w:val="24"/>
          <w:szCs w:val="24"/>
        </w:rPr>
      </w:pPr>
      <w:r w:rsidRPr="00A04934">
        <w:rPr>
          <w:rFonts w:ascii="Times New Roman" w:hAnsi="Times New Roman" w:cs="Times New Roman"/>
          <w:b/>
          <w:i/>
          <w:color w:val="auto"/>
          <w:sz w:val="24"/>
          <w:szCs w:val="24"/>
        </w:rPr>
        <w:t>- zábradlí kotveno k železobetonové stěně chemickými kotvami</w:t>
      </w:r>
    </w:p>
    <w:p w:rsidR="008D24C9" w:rsidRPr="00A04934" w:rsidRDefault="008D24C9" w:rsidP="00A04934">
      <w:pPr>
        <w:pStyle w:val="499textodrazeny"/>
        <w:ind w:left="0"/>
        <w:jc w:val="both"/>
        <w:rPr>
          <w:rFonts w:ascii="Times New Roman" w:hAnsi="Times New Roman" w:cs="Times New Roman"/>
          <w:b/>
          <w:i/>
          <w:color w:val="auto"/>
          <w:sz w:val="24"/>
          <w:szCs w:val="24"/>
        </w:rPr>
      </w:pPr>
      <w:r w:rsidRPr="00A04934">
        <w:rPr>
          <w:rFonts w:ascii="Times New Roman" w:hAnsi="Times New Roman" w:cs="Times New Roman"/>
          <w:b/>
          <w:i/>
          <w:color w:val="auto"/>
          <w:sz w:val="24"/>
          <w:szCs w:val="24"/>
        </w:rPr>
        <w:t xml:space="preserve">  M12 - hloubka kotvení min.90mm, kotvy z nerezové oceli 1.4301</w:t>
      </w:r>
    </w:p>
    <w:p w:rsidR="008D24C9" w:rsidRPr="00A04934" w:rsidRDefault="008D24C9" w:rsidP="00A04934">
      <w:pPr>
        <w:pStyle w:val="499textodrazeny"/>
        <w:ind w:left="0"/>
        <w:jc w:val="both"/>
        <w:rPr>
          <w:rFonts w:ascii="Times New Roman" w:hAnsi="Times New Roman" w:cs="Times New Roman"/>
          <w:b/>
          <w:i/>
          <w:color w:val="auto"/>
          <w:sz w:val="24"/>
          <w:szCs w:val="24"/>
        </w:rPr>
      </w:pPr>
      <w:r w:rsidRPr="00A04934">
        <w:rPr>
          <w:rFonts w:ascii="Times New Roman" w:hAnsi="Times New Roman" w:cs="Times New Roman"/>
          <w:b/>
          <w:i/>
          <w:color w:val="auto"/>
          <w:sz w:val="24"/>
          <w:szCs w:val="24"/>
        </w:rPr>
        <w:t>- sloupky ve dvojicích spojeny šrouby M10 s půlkulatou hlavou</w:t>
      </w:r>
    </w:p>
    <w:p w:rsidR="008D24C9" w:rsidRPr="00A04934" w:rsidRDefault="008D24C9" w:rsidP="00A04934">
      <w:pPr>
        <w:pStyle w:val="499textodrazeny"/>
        <w:ind w:left="0"/>
        <w:jc w:val="both"/>
        <w:rPr>
          <w:rFonts w:ascii="Times New Roman" w:hAnsi="Times New Roman" w:cs="Times New Roman"/>
          <w:b/>
          <w:i/>
          <w:color w:val="auto"/>
          <w:sz w:val="24"/>
          <w:szCs w:val="24"/>
        </w:rPr>
      </w:pPr>
      <w:r w:rsidRPr="00A04934">
        <w:rPr>
          <w:rFonts w:ascii="Times New Roman" w:hAnsi="Times New Roman" w:cs="Times New Roman"/>
          <w:b/>
          <w:i/>
          <w:color w:val="auto"/>
          <w:sz w:val="24"/>
          <w:szCs w:val="24"/>
        </w:rPr>
        <w:t xml:space="preserve">- min. výška zábradlí 1000mm , max. výška spodní pásnice </w:t>
      </w:r>
      <w:proofErr w:type="gramStart"/>
      <w:r w:rsidRPr="00A04934">
        <w:rPr>
          <w:rFonts w:ascii="Times New Roman" w:hAnsi="Times New Roman" w:cs="Times New Roman"/>
          <w:b/>
          <w:i/>
          <w:color w:val="auto"/>
          <w:sz w:val="24"/>
          <w:szCs w:val="24"/>
        </w:rPr>
        <w:t>nad</w:t>
      </w:r>
      <w:proofErr w:type="gramEnd"/>
      <w:r w:rsidRPr="00A04934">
        <w:rPr>
          <w:rFonts w:ascii="Times New Roman" w:hAnsi="Times New Roman" w:cs="Times New Roman"/>
          <w:b/>
          <w:i/>
          <w:color w:val="auto"/>
          <w:sz w:val="24"/>
          <w:szCs w:val="24"/>
        </w:rPr>
        <w:t xml:space="preserve"> </w:t>
      </w:r>
    </w:p>
    <w:p w:rsidR="008D24C9" w:rsidRPr="00A04934" w:rsidRDefault="008D24C9" w:rsidP="00A04934">
      <w:pPr>
        <w:pStyle w:val="499textodrazeny"/>
        <w:ind w:left="0"/>
        <w:jc w:val="both"/>
        <w:rPr>
          <w:rFonts w:ascii="Times New Roman" w:hAnsi="Times New Roman" w:cs="Times New Roman"/>
          <w:b/>
          <w:i/>
          <w:color w:val="auto"/>
          <w:sz w:val="24"/>
          <w:szCs w:val="24"/>
        </w:rPr>
      </w:pPr>
      <w:r w:rsidRPr="00A04934">
        <w:rPr>
          <w:rFonts w:ascii="Times New Roman" w:hAnsi="Times New Roman" w:cs="Times New Roman"/>
          <w:b/>
          <w:i/>
          <w:color w:val="auto"/>
          <w:sz w:val="24"/>
          <w:szCs w:val="24"/>
        </w:rPr>
        <w:t xml:space="preserve">  plochou 100mm</w:t>
      </w:r>
    </w:p>
    <w:p w:rsidR="008D24C9" w:rsidRPr="0051313D" w:rsidRDefault="008D24C9" w:rsidP="008D24C9">
      <w:pPr>
        <w:jc w:val="both"/>
      </w:pPr>
    </w:p>
    <w:p w:rsidR="002E3C59" w:rsidRPr="00A31D0F" w:rsidRDefault="002E3C59" w:rsidP="002E3C59">
      <w:pPr>
        <w:shd w:val="clear" w:color="auto" w:fill="FFFFFF"/>
        <w:spacing w:after="0" w:line="240" w:lineRule="auto"/>
        <w:jc w:val="both"/>
        <w:rPr>
          <w:rFonts w:ascii="Times New Roman" w:hAnsi="Times New Roman" w:cs="Times New Roman"/>
          <w:b/>
          <w:i/>
          <w:sz w:val="24"/>
          <w:szCs w:val="24"/>
        </w:rPr>
      </w:pP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d)</w:t>
      </w:r>
      <w:r w:rsidRPr="00D20909">
        <w:rPr>
          <w:rFonts w:ascii="Times New Roman" w:eastAsia="Times New Roman" w:hAnsi="Times New Roman" w:cs="Times New Roman"/>
          <w:color w:val="000000"/>
          <w:sz w:val="24"/>
          <w:szCs w:val="24"/>
          <w:lang w:eastAsia="cs-CZ"/>
        </w:rPr>
        <w:t> celkové produkované množství a druhy odpadů a emisí, způsob nakládání s vyzískaným materiálem,</w:t>
      </w:r>
    </w:p>
    <w:p w:rsidR="002E3C59" w:rsidRPr="00B47761" w:rsidRDefault="002E3C59" w:rsidP="002E3C59">
      <w:pPr>
        <w:pStyle w:val="499textodrazeny"/>
        <w:ind w:left="0"/>
        <w:jc w:val="both"/>
        <w:rPr>
          <w:rFonts w:ascii="Times New Roman" w:hAnsi="Times New Roman" w:cs="Times New Roman"/>
          <w:b/>
          <w:i/>
          <w:color w:val="auto"/>
          <w:sz w:val="24"/>
          <w:szCs w:val="24"/>
        </w:rPr>
      </w:pPr>
      <w:r w:rsidRPr="00B47761">
        <w:rPr>
          <w:rFonts w:ascii="Times New Roman" w:hAnsi="Times New Roman" w:cs="Times New Roman"/>
          <w:b/>
          <w:i/>
          <w:color w:val="auto"/>
          <w:sz w:val="24"/>
          <w:szCs w:val="24"/>
        </w:rPr>
        <w:t>V období výstavby</w:t>
      </w:r>
    </w:p>
    <w:p w:rsidR="002E3C59" w:rsidRPr="00B47761" w:rsidRDefault="002E3C59" w:rsidP="002E3C59">
      <w:pPr>
        <w:pStyle w:val="499textodrazeny"/>
        <w:ind w:left="0"/>
        <w:jc w:val="both"/>
        <w:rPr>
          <w:rFonts w:ascii="Times New Roman" w:hAnsi="Times New Roman" w:cs="Times New Roman"/>
          <w:b/>
          <w:i/>
          <w:color w:val="auto"/>
          <w:sz w:val="24"/>
          <w:szCs w:val="24"/>
        </w:rPr>
      </w:pPr>
      <w:r w:rsidRPr="00B47761">
        <w:rPr>
          <w:rFonts w:ascii="Times New Roman" w:hAnsi="Times New Roman" w:cs="Times New Roman"/>
          <w:b/>
          <w:i/>
          <w:color w:val="auto"/>
          <w:sz w:val="24"/>
          <w:szCs w:val="24"/>
        </w:rPr>
        <w:t xml:space="preserve">Při výstavbě je předpokládán vznik odpadů, </w:t>
      </w:r>
      <w:proofErr w:type="gramStart"/>
      <w:r w:rsidRPr="00B47761">
        <w:rPr>
          <w:rFonts w:ascii="Times New Roman" w:hAnsi="Times New Roman" w:cs="Times New Roman"/>
          <w:b/>
          <w:i/>
          <w:color w:val="auto"/>
          <w:sz w:val="24"/>
          <w:szCs w:val="24"/>
        </w:rPr>
        <w:t>specifikovaných  v následujícím</w:t>
      </w:r>
      <w:proofErr w:type="gramEnd"/>
      <w:r w:rsidRPr="00B47761">
        <w:rPr>
          <w:rFonts w:ascii="Times New Roman" w:hAnsi="Times New Roman" w:cs="Times New Roman"/>
          <w:b/>
          <w:i/>
          <w:color w:val="auto"/>
          <w:sz w:val="24"/>
          <w:szCs w:val="24"/>
        </w:rPr>
        <w:t xml:space="preserve"> přehledu:</w:t>
      </w:r>
    </w:p>
    <w:p w:rsidR="002E3C59" w:rsidRDefault="002E3C59" w:rsidP="002E3C59">
      <w:pPr>
        <w:jc w:val="both"/>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418"/>
        <w:gridCol w:w="5670"/>
        <w:gridCol w:w="1345"/>
      </w:tblGrid>
      <w:tr w:rsidR="002E3C59" w:rsidTr="00A04934">
        <w:tc>
          <w:tcPr>
            <w:tcW w:w="779" w:type="dxa"/>
          </w:tcPr>
          <w:p w:rsidR="002E3C59" w:rsidRDefault="002E3C59" w:rsidP="00EC1DC9">
            <w:pPr>
              <w:rPr>
                <w:b/>
              </w:rPr>
            </w:pPr>
            <w:proofErr w:type="spellStart"/>
            <w:proofErr w:type="gramStart"/>
            <w:r>
              <w:rPr>
                <w:b/>
              </w:rPr>
              <w:t>Poř.č</w:t>
            </w:r>
            <w:proofErr w:type="spellEnd"/>
            <w:r>
              <w:rPr>
                <w:b/>
              </w:rPr>
              <w:t>.</w:t>
            </w:r>
            <w:proofErr w:type="gramEnd"/>
          </w:p>
        </w:tc>
        <w:tc>
          <w:tcPr>
            <w:tcW w:w="1418" w:type="dxa"/>
          </w:tcPr>
          <w:p w:rsidR="002E3C59" w:rsidRDefault="002E3C59" w:rsidP="00EC1DC9">
            <w:pPr>
              <w:rPr>
                <w:b/>
              </w:rPr>
            </w:pPr>
            <w:r>
              <w:rPr>
                <w:b/>
              </w:rPr>
              <w:t>Kód odpadu</w:t>
            </w:r>
          </w:p>
        </w:tc>
        <w:tc>
          <w:tcPr>
            <w:tcW w:w="5670" w:type="dxa"/>
          </w:tcPr>
          <w:p w:rsidR="002E3C59" w:rsidRDefault="002E3C59" w:rsidP="00EC1DC9">
            <w:pPr>
              <w:rPr>
                <w:b/>
              </w:rPr>
            </w:pPr>
            <w:r>
              <w:rPr>
                <w:b/>
              </w:rPr>
              <w:t>Název</w:t>
            </w:r>
          </w:p>
        </w:tc>
        <w:tc>
          <w:tcPr>
            <w:tcW w:w="1345" w:type="dxa"/>
          </w:tcPr>
          <w:p w:rsidR="002E3C59" w:rsidRDefault="002E3C59" w:rsidP="00EC1DC9">
            <w:pPr>
              <w:rPr>
                <w:b/>
              </w:rPr>
            </w:pPr>
            <w:r>
              <w:rPr>
                <w:b/>
              </w:rPr>
              <w:t>Kategorie</w:t>
            </w:r>
          </w:p>
        </w:tc>
      </w:tr>
      <w:tr w:rsidR="002E3C59" w:rsidTr="00A04934">
        <w:trPr>
          <w:cantSplit/>
        </w:trPr>
        <w:tc>
          <w:tcPr>
            <w:tcW w:w="9212" w:type="dxa"/>
            <w:gridSpan w:val="4"/>
          </w:tcPr>
          <w:p w:rsidR="002E3C59" w:rsidRDefault="002E3C59" w:rsidP="00EC1DC9">
            <w:pPr>
              <w:rPr>
                <w:b/>
              </w:rPr>
            </w:pPr>
            <w:r>
              <w:rPr>
                <w:b/>
              </w:rPr>
              <w:t>17 Stavební a demoliční odpady</w:t>
            </w:r>
          </w:p>
        </w:tc>
      </w:tr>
      <w:tr w:rsidR="002E3C59" w:rsidTr="00A04934">
        <w:tc>
          <w:tcPr>
            <w:tcW w:w="779" w:type="dxa"/>
          </w:tcPr>
          <w:p w:rsidR="002E3C59" w:rsidRDefault="002E3C59" w:rsidP="00EC1DC9">
            <w:r>
              <w:t>13</w:t>
            </w:r>
          </w:p>
        </w:tc>
        <w:tc>
          <w:tcPr>
            <w:tcW w:w="1418" w:type="dxa"/>
          </w:tcPr>
          <w:p w:rsidR="002E3C59" w:rsidRDefault="002E3C59" w:rsidP="00EC1DC9">
            <w:r>
              <w:t>17 05 04</w:t>
            </w:r>
          </w:p>
        </w:tc>
        <w:tc>
          <w:tcPr>
            <w:tcW w:w="5670" w:type="dxa"/>
          </w:tcPr>
          <w:p w:rsidR="002E3C59" w:rsidRDefault="002E3C59" w:rsidP="00EC1DC9">
            <w:r>
              <w:t>Zemina a kamení neuvedené pod č. 17 05 03</w:t>
            </w:r>
          </w:p>
        </w:tc>
        <w:tc>
          <w:tcPr>
            <w:tcW w:w="1345" w:type="dxa"/>
          </w:tcPr>
          <w:p w:rsidR="002E3C59" w:rsidRDefault="002E3C59" w:rsidP="00EC1DC9">
            <w:r>
              <w:t xml:space="preserve">O </w:t>
            </w:r>
          </w:p>
        </w:tc>
      </w:tr>
      <w:tr w:rsidR="00A04934" w:rsidTr="00A04934">
        <w:tc>
          <w:tcPr>
            <w:tcW w:w="779" w:type="dxa"/>
          </w:tcPr>
          <w:p w:rsidR="00A04934" w:rsidRDefault="00A04934" w:rsidP="00EC1DC9"/>
        </w:tc>
        <w:tc>
          <w:tcPr>
            <w:tcW w:w="1418" w:type="dxa"/>
          </w:tcPr>
          <w:p w:rsidR="00A04934" w:rsidRDefault="00A04934" w:rsidP="00EC1DC9">
            <w:r w:rsidRPr="00A04934">
              <w:t>170107</w:t>
            </w:r>
          </w:p>
        </w:tc>
        <w:tc>
          <w:tcPr>
            <w:tcW w:w="5670" w:type="dxa"/>
          </w:tcPr>
          <w:p w:rsidR="00A04934" w:rsidRDefault="00A04934" w:rsidP="00A04934">
            <w:r w:rsidRPr="00A04934">
              <w:t>Směsi nebo oddělené frakce betonu</w:t>
            </w:r>
            <w:r w:rsidRPr="00A04934">
              <w:tab/>
              <w:t xml:space="preserve"> (vybourané betony)</w:t>
            </w:r>
          </w:p>
        </w:tc>
        <w:tc>
          <w:tcPr>
            <w:tcW w:w="1345" w:type="dxa"/>
          </w:tcPr>
          <w:p w:rsidR="00A04934" w:rsidRDefault="00A04934" w:rsidP="00EC1DC9">
            <w:r>
              <w:t>O</w:t>
            </w:r>
          </w:p>
        </w:tc>
      </w:tr>
      <w:tr w:rsidR="00A04934" w:rsidTr="00A04934">
        <w:tc>
          <w:tcPr>
            <w:tcW w:w="779" w:type="dxa"/>
            <w:tcBorders>
              <w:top w:val="single" w:sz="4" w:space="0" w:color="auto"/>
              <w:left w:val="single" w:sz="4" w:space="0" w:color="auto"/>
              <w:bottom w:val="single" w:sz="4" w:space="0" w:color="auto"/>
              <w:right w:val="single" w:sz="4" w:space="0" w:color="auto"/>
            </w:tcBorders>
          </w:tcPr>
          <w:p w:rsidR="00A04934" w:rsidRDefault="00A04934" w:rsidP="000E274E"/>
        </w:tc>
        <w:tc>
          <w:tcPr>
            <w:tcW w:w="1418" w:type="dxa"/>
            <w:tcBorders>
              <w:top w:val="single" w:sz="4" w:space="0" w:color="auto"/>
              <w:left w:val="single" w:sz="4" w:space="0" w:color="auto"/>
              <w:bottom w:val="single" w:sz="4" w:space="0" w:color="auto"/>
              <w:right w:val="single" w:sz="4" w:space="0" w:color="auto"/>
            </w:tcBorders>
          </w:tcPr>
          <w:p w:rsidR="00A04934" w:rsidRDefault="00A04934" w:rsidP="000E274E">
            <w:r w:rsidRPr="00D631E3">
              <w:rPr>
                <w:rFonts w:ascii="Calibri" w:eastAsia="Times New Roman" w:hAnsi="Calibri" w:cs="Times New Roman"/>
                <w:color w:val="000000"/>
                <w:lang w:eastAsia="cs-CZ"/>
              </w:rPr>
              <w:t>170 102</w:t>
            </w:r>
          </w:p>
        </w:tc>
        <w:tc>
          <w:tcPr>
            <w:tcW w:w="5670" w:type="dxa"/>
            <w:tcBorders>
              <w:top w:val="single" w:sz="4" w:space="0" w:color="auto"/>
              <w:left w:val="single" w:sz="4" w:space="0" w:color="auto"/>
              <w:bottom w:val="single" w:sz="4" w:space="0" w:color="auto"/>
              <w:right w:val="single" w:sz="4" w:space="0" w:color="auto"/>
            </w:tcBorders>
          </w:tcPr>
          <w:p w:rsidR="00A04934" w:rsidRDefault="00A04934" w:rsidP="000E274E">
            <w:r>
              <w:rPr>
                <w:rFonts w:ascii="Calibri" w:eastAsia="Times New Roman" w:hAnsi="Calibri" w:cs="Times New Roman"/>
                <w:color w:val="000000"/>
                <w:lang w:eastAsia="cs-CZ"/>
              </w:rPr>
              <w:t>Stavební odpad cihelný</w:t>
            </w:r>
          </w:p>
        </w:tc>
        <w:tc>
          <w:tcPr>
            <w:tcW w:w="1345" w:type="dxa"/>
            <w:tcBorders>
              <w:top w:val="single" w:sz="4" w:space="0" w:color="auto"/>
              <w:left w:val="single" w:sz="4" w:space="0" w:color="auto"/>
              <w:bottom w:val="single" w:sz="4" w:space="0" w:color="auto"/>
              <w:right w:val="single" w:sz="4" w:space="0" w:color="auto"/>
            </w:tcBorders>
          </w:tcPr>
          <w:p w:rsidR="00A04934" w:rsidRDefault="00A04934" w:rsidP="000E274E">
            <w:r>
              <w:t>O</w:t>
            </w:r>
          </w:p>
        </w:tc>
      </w:tr>
    </w:tbl>
    <w:p w:rsidR="002E3C59" w:rsidRDefault="002E3C59" w:rsidP="002E3C59">
      <w:pPr>
        <w:ind w:firstLine="709"/>
        <w:jc w:val="both"/>
      </w:pPr>
    </w:p>
    <w:p w:rsidR="002E3C59" w:rsidRPr="00B47761" w:rsidRDefault="002E3C59" w:rsidP="002E3C59">
      <w:pPr>
        <w:pStyle w:val="499textodrazeny"/>
        <w:ind w:left="0"/>
        <w:jc w:val="both"/>
        <w:rPr>
          <w:rFonts w:ascii="Times New Roman" w:hAnsi="Times New Roman" w:cs="Times New Roman"/>
          <w:b/>
          <w:i/>
          <w:color w:val="auto"/>
          <w:sz w:val="24"/>
          <w:szCs w:val="24"/>
        </w:rPr>
      </w:pPr>
      <w:r w:rsidRPr="00B47761">
        <w:rPr>
          <w:rFonts w:ascii="Times New Roman" w:hAnsi="Times New Roman" w:cs="Times New Roman"/>
          <w:b/>
          <w:i/>
          <w:color w:val="auto"/>
          <w:sz w:val="24"/>
          <w:szCs w:val="24"/>
        </w:rPr>
        <w:tab/>
        <w:t xml:space="preserve">Nakládání s odpady musí být v souladu se zákonem 185/2001 Sb. v platném znění a vyhláškami navazujícími. Odpad bude tříděn a dle druhů a kategorií nabízen k využití nebo zajištěno jeho zneškodnění.  </w:t>
      </w:r>
    </w:p>
    <w:p w:rsidR="002E3C59" w:rsidRPr="00D2090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e)</w:t>
      </w:r>
      <w:r w:rsidRPr="00D20909">
        <w:rPr>
          <w:rFonts w:ascii="Times New Roman" w:eastAsia="Times New Roman" w:hAnsi="Times New Roman" w:cs="Times New Roman"/>
          <w:color w:val="000000"/>
          <w:sz w:val="24"/>
          <w:szCs w:val="24"/>
          <w:lang w:eastAsia="cs-CZ"/>
        </w:rPr>
        <w:t> požadavky na kapacity veřejných sítí komunikačních vedení a elektronického komunikačního zařízení veřejné komunikační sítě.</w:t>
      </w:r>
    </w:p>
    <w:p w:rsidR="002E3C59" w:rsidRDefault="002E3C59" w:rsidP="002E3C59">
      <w:pPr>
        <w:pStyle w:val="499textodrazeny"/>
        <w:ind w:left="0"/>
        <w:jc w:val="both"/>
        <w:rPr>
          <w:rFonts w:ascii="Times New Roman" w:hAnsi="Times New Roman" w:cs="Times New Roman"/>
          <w:b/>
          <w:i/>
          <w:color w:val="auto"/>
          <w:sz w:val="24"/>
          <w:szCs w:val="24"/>
        </w:rPr>
      </w:pPr>
      <w:r w:rsidRPr="00BE18A9">
        <w:rPr>
          <w:rFonts w:ascii="Times New Roman" w:hAnsi="Times New Roman" w:cs="Times New Roman"/>
          <w:b/>
          <w:i/>
          <w:color w:val="auto"/>
          <w:sz w:val="24"/>
          <w:szCs w:val="24"/>
        </w:rPr>
        <w:t>Netýká se této stavby</w:t>
      </w:r>
    </w:p>
    <w:p w:rsidR="003669C2" w:rsidRPr="00BE18A9" w:rsidRDefault="003669C2" w:rsidP="002E3C59">
      <w:pPr>
        <w:pStyle w:val="499textodrazeny"/>
        <w:ind w:left="0"/>
        <w:jc w:val="both"/>
        <w:rPr>
          <w:rFonts w:ascii="Times New Roman" w:hAnsi="Times New Roman" w:cs="Times New Roman"/>
          <w:b/>
          <w:i/>
          <w:color w:val="auto"/>
          <w:sz w:val="24"/>
          <w:szCs w:val="24"/>
        </w:rPr>
      </w:pPr>
    </w:p>
    <w:p w:rsidR="002E3C59" w:rsidRPr="00D2090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20909">
        <w:rPr>
          <w:rFonts w:ascii="Times New Roman" w:eastAsia="Times New Roman" w:hAnsi="Times New Roman" w:cs="Times New Roman"/>
          <w:color w:val="000000"/>
          <w:sz w:val="24"/>
          <w:szCs w:val="24"/>
          <w:lang w:eastAsia="cs-CZ"/>
        </w:rPr>
        <w:t>B.2.4</w:t>
      </w:r>
      <w:proofErr w:type="gramEnd"/>
      <w:r w:rsidRPr="00D20909">
        <w:rPr>
          <w:rFonts w:ascii="Times New Roman" w:eastAsia="Times New Roman" w:hAnsi="Times New Roman" w:cs="Times New Roman"/>
          <w:color w:val="000000"/>
          <w:sz w:val="24"/>
          <w:szCs w:val="24"/>
          <w:lang w:eastAsia="cs-CZ"/>
        </w:rPr>
        <w:t xml:space="preserve"> Bezbariérové užívání stavby</w:t>
      </w:r>
    </w:p>
    <w:p w:rsidR="008D24C9" w:rsidRPr="008D24C9" w:rsidRDefault="008D24C9" w:rsidP="008D24C9">
      <w:pPr>
        <w:pStyle w:val="499textodrazeny"/>
        <w:ind w:left="0"/>
        <w:jc w:val="both"/>
        <w:rPr>
          <w:rFonts w:ascii="Times New Roman" w:hAnsi="Times New Roman" w:cs="Times New Roman"/>
          <w:b/>
          <w:i/>
          <w:color w:val="auto"/>
          <w:sz w:val="24"/>
          <w:szCs w:val="24"/>
        </w:rPr>
      </w:pPr>
      <w:r w:rsidRPr="008D24C9">
        <w:rPr>
          <w:rFonts w:ascii="Times New Roman" w:hAnsi="Times New Roman" w:cs="Times New Roman"/>
          <w:b/>
          <w:i/>
          <w:color w:val="auto"/>
          <w:sz w:val="24"/>
          <w:szCs w:val="24"/>
        </w:rPr>
        <w:t>Nástupní hrany budou z bezbariérových betonových obrubníků s převýšením +200 mm nad vozovkou.</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20909">
        <w:rPr>
          <w:rFonts w:ascii="Times New Roman" w:eastAsia="Times New Roman" w:hAnsi="Times New Roman" w:cs="Times New Roman"/>
          <w:color w:val="000000"/>
          <w:sz w:val="24"/>
          <w:szCs w:val="24"/>
          <w:lang w:eastAsia="cs-CZ"/>
        </w:rPr>
        <w:t>B.2.5</w:t>
      </w:r>
      <w:proofErr w:type="gramEnd"/>
      <w:r w:rsidRPr="00D20909">
        <w:rPr>
          <w:rFonts w:ascii="Times New Roman" w:eastAsia="Times New Roman" w:hAnsi="Times New Roman" w:cs="Times New Roman"/>
          <w:color w:val="000000"/>
          <w:sz w:val="24"/>
          <w:szCs w:val="24"/>
          <w:lang w:eastAsia="cs-CZ"/>
        </w:rPr>
        <w:t xml:space="preserve"> Bezpečnost při užívání stavby</w:t>
      </w:r>
    </w:p>
    <w:p w:rsidR="002E3C59" w:rsidRPr="00BE18A9" w:rsidRDefault="002E3C59" w:rsidP="002E3C59">
      <w:pPr>
        <w:pStyle w:val="499textodrazeny"/>
        <w:ind w:left="0"/>
        <w:jc w:val="both"/>
        <w:rPr>
          <w:rFonts w:ascii="Times New Roman" w:hAnsi="Times New Roman" w:cs="Times New Roman"/>
          <w:b/>
          <w:i/>
          <w:color w:val="auto"/>
          <w:sz w:val="24"/>
          <w:szCs w:val="24"/>
        </w:rPr>
      </w:pPr>
      <w:r w:rsidRPr="00BE18A9">
        <w:rPr>
          <w:rFonts w:ascii="Times New Roman" w:hAnsi="Times New Roman" w:cs="Times New Roman"/>
          <w:b/>
          <w:i/>
          <w:color w:val="auto"/>
          <w:sz w:val="24"/>
          <w:szCs w:val="24"/>
        </w:rPr>
        <w:t>Netýká se této stavby</w:t>
      </w:r>
    </w:p>
    <w:p w:rsidR="002E3C59" w:rsidRPr="00D2090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20909">
        <w:rPr>
          <w:rFonts w:ascii="Times New Roman" w:eastAsia="Times New Roman" w:hAnsi="Times New Roman" w:cs="Times New Roman"/>
          <w:color w:val="000000"/>
          <w:sz w:val="24"/>
          <w:szCs w:val="24"/>
          <w:lang w:eastAsia="cs-CZ"/>
        </w:rPr>
        <w:t>B.2.6</w:t>
      </w:r>
      <w:proofErr w:type="gramEnd"/>
      <w:r w:rsidRPr="00D20909">
        <w:rPr>
          <w:rFonts w:ascii="Times New Roman" w:eastAsia="Times New Roman" w:hAnsi="Times New Roman" w:cs="Times New Roman"/>
          <w:color w:val="000000"/>
          <w:sz w:val="24"/>
          <w:szCs w:val="24"/>
          <w:lang w:eastAsia="cs-CZ"/>
        </w:rPr>
        <w:t xml:space="preserve"> Základní charakteristika objektů</w:t>
      </w:r>
    </w:p>
    <w:p w:rsidR="002E3C59" w:rsidRPr="00BE18A9" w:rsidRDefault="002E3C59" w:rsidP="002E3C59">
      <w:pPr>
        <w:pStyle w:val="499textodrazeny"/>
        <w:ind w:left="0"/>
        <w:jc w:val="both"/>
        <w:rPr>
          <w:rFonts w:ascii="Times New Roman" w:hAnsi="Times New Roman" w:cs="Times New Roman"/>
          <w:b/>
          <w:i/>
          <w:color w:val="auto"/>
          <w:sz w:val="24"/>
          <w:szCs w:val="24"/>
        </w:rPr>
      </w:pPr>
      <w:r w:rsidRPr="00BE18A9">
        <w:rPr>
          <w:rFonts w:ascii="Times New Roman" w:hAnsi="Times New Roman" w:cs="Times New Roman"/>
          <w:b/>
          <w:i/>
          <w:color w:val="auto"/>
          <w:sz w:val="24"/>
          <w:szCs w:val="24"/>
        </w:rPr>
        <w:t>Viz B2.1</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20909">
        <w:rPr>
          <w:rFonts w:ascii="Times New Roman" w:eastAsia="Times New Roman" w:hAnsi="Times New Roman" w:cs="Times New Roman"/>
          <w:color w:val="000000"/>
          <w:sz w:val="24"/>
          <w:szCs w:val="24"/>
          <w:lang w:eastAsia="cs-CZ"/>
        </w:rPr>
        <w:t>B.2.7</w:t>
      </w:r>
      <w:proofErr w:type="gramEnd"/>
      <w:r w:rsidRPr="00D20909">
        <w:rPr>
          <w:rFonts w:ascii="Times New Roman" w:eastAsia="Times New Roman" w:hAnsi="Times New Roman" w:cs="Times New Roman"/>
          <w:color w:val="000000"/>
          <w:sz w:val="24"/>
          <w:szCs w:val="24"/>
          <w:lang w:eastAsia="cs-CZ"/>
        </w:rPr>
        <w:t xml:space="preserve"> Základní charakteristika technických a technologických zařízení</w:t>
      </w:r>
    </w:p>
    <w:p w:rsidR="002E3C59" w:rsidRPr="00BE18A9" w:rsidRDefault="002E3C59" w:rsidP="002E3C59">
      <w:pPr>
        <w:pStyle w:val="499textodrazeny"/>
        <w:ind w:left="0"/>
        <w:jc w:val="both"/>
        <w:rPr>
          <w:rFonts w:ascii="Times New Roman" w:hAnsi="Times New Roman" w:cs="Times New Roman"/>
          <w:b/>
          <w:i/>
          <w:color w:val="auto"/>
          <w:sz w:val="24"/>
          <w:szCs w:val="24"/>
        </w:rPr>
      </w:pPr>
      <w:r w:rsidRPr="00BE18A9">
        <w:rPr>
          <w:rFonts w:ascii="Times New Roman" w:hAnsi="Times New Roman" w:cs="Times New Roman"/>
          <w:b/>
          <w:i/>
          <w:color w:val="auto"/>
          <w:sz w:val="24"/>
          <w:szCs w:val="24"/>
        </w:rPr>
        <w:t>Netýká se této stavby</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20909">
        <w:rPr>
          <w:rFonts w:ascii="Times New Roman" w:eastAsia="Times New Roman" w:hAnsi="Times New Roman" w:cs="Times New Roman"/>
          <w:color w:val="000000"/>
          <w:sz w:val="24"/>
          <w:szCs w:val="24"/>
          <w:lang w:eastAsia="cs-CZ"/>
        </w:rPr>
        <w:t>B.2.8</w:t>
      </w:r>
      <w:proofErr w:type="gramEnd"/>
      <w:r w:rsidRPr="00D20909">
        <w:rPr>
          <w:rFonts w:ascii="Times New Roman" w:eastAsia="Times New Roman" w:hAnsi="Times New Roman" w:cs="Times New Roman"/>
          <w:color w:val="000000"/>
          <w:sz w:val="24"/>
          <w:szCs w:val="24"/>
          <w:lang w:eastAsia="cs-CZ"/>
        </w:rPr>
        <w:t xml:space="preserve"> Zásady požárně bezpečnostního řešení</w:t>
      </w:r>
    </w:p>
    <w:p w:rsidR="00AF553B" w:rsidRPr="00BE18A9" w:rsidRDefault="00AF553B" w:rsidP="00AF553B">
      <w:pPr>
        <w:pStyle w:val="499textodrazeny"/>
        <w:ind w:left="0"/>
        <w:jc w:val="both"/>
        <w:rPr>
          <w:rFonts w:ascii="Times New Roman" w:hAnsi="Times New Roman" w:cs="Times New Roman"/>
          <w:b/>
          <w:i/>
          <w:color w:val="auto"/>
          <w:sz w:val="24"/>
          <w:szCs w:val="24"/>
        </w:rPr>
      </w:pPr>
      <w:r w:rsidRPr="00BE18A9">
        <w:rPr>
          <w:rFonts w:ascii="Times New Roman" w:hAnsi="Times New Roman" w:cs="Times New Roman"/>
          <w:b/>
          <w:i/>
          <w:color w:val="auto"/>
          <w:sz w:val="24"/>
          <w:szCs w:val="24"/>
        </w:rPr>
        <w:t>Netýká se této stavby</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20909">
        <w:rPr>
          <w:rFonts w:ascii="Times New Roman" w:eastAsia="Times New Roman" w:hAnsi="Times New Roman" w:cs="Times New Roman"/>
          <w:color w:val="000000"/>
          <w:sz w:val="24"/>
          <w:szCs w:val="24"/>
          <w:lang w:eastAsia="cs-CZ"/>
        </w:rPr>
        <w:lastRenderedPageBreak/>
        <w:t>B.2.9</w:t>
      </w:r>
      <w:proofErr w:type="gramEnd"/>
      <w:r w:rsidRPr="00D20909">
        <w:rPr>
          <w:rFonts w:ascii="Times New Roman" w:eastAsia="Times New Roman" w:hAnsi="Times New Roman" w:cs="Times New Roman"/>
          <w:color w:val="000000"/>
          <w:sz w:val="24"/>
          <w:szCs w:val="24"/>
          <w:lang w:eastAsia="cs-CZ"/>
        </w:rPr>
        <w:t xml:space="preserve"> Úspora energie a tepelná ochrana</w:t>
      </w:r>
    </w:p>
    <w:p w:rsidR="002E3C59" w:rsidRPr="00BE18A9" w:rsidRDefault="002E3C59" w:rsidP="002E3C59">
      <w:pPr>
        <w:pStyle w:val="499textodrazeny"/>
        <w:ind w:left="0"/>
        <w:jc w:val="both"/>
        <w:rPr>
          <w:rFonts w:ascii="Times New Roman" w:hAnsi="Times New Roman" w:cs="Times New Roman"/>
          <w:b/>
          <w:i/>
          <w:color w:val="auto"/>
          <w:sz w:val="24"/>
          <w:szCs w:val="24"/>
        </w:rPr>
      </w:pPr>
      <w:r w:rsidRPr="00BE18A9">
        <w:rPr>
          <w:rFonts w:ascii="Times New Roman" w:hAnsi="Times New Roman" w:cs="Times New Roman"/>
          <w:b/>
          <w:i/>
          <w:color w:val="auto"/>
          <w:sz w:val="24"/>
          <w:szCs w:val="24"/>
        </w:rPr>
        <w:t>Netýká se této stavby</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20909">
        <w:rPr>
          <w:rFonts w:ascii="Times New Roman" w:eastAsia="Times New Roman" w:hAnsi="Times New Roman" w:cs="Times New Roman"/>
          <w:color w:val="000000"/>
          <w:sz w:val="24"/>
          <w:szCs w:val="24"/>
          <w:lang w:eastAsia="cs-CZ"/>
        </w:rPr>
        <w:t>B.2.10</w:t>
      </w:r>
      <w:proofErr w:type="gramEnd"/>
      <w:r w:rsidRPr="00D20909">
        <w:rPr>
          <w:rFonts w:ascii="Times New Roman" w:eastAsia="Times New Roman" w:hAnsi="Times New Roman" w:cs="Times New Roman"/>
          <w:color w:val="000000"/>
          <w:sz w:val="24"/>
          <w:szCs w:val="24"/>
          <w:lang w:eastAsia="cs-CZ"/>
        </w:rPr>
        <w:t xml:space="preserve"> Hygienické požadavky na stavby, požadavky na pracovní prostředí</w:t>
      </w:r>
    </w:p>
    <w:p w:rsidR="002E3C59" w:rsidRPr="00BE18A9" w:rsidRDefault="002E3C59" w:rsidP="002E3C59">
      <w:pPr>
        <w:pStyle w:val="499textodrazeny"/>
        <w:ind w:left="0"/>
        <w:jc w:val="both"/>
        <w:rPr>
          <w:rFonts w:ascii="Times New Roman" w:hAnsi="Times New Roman" w:cs="Times New Roman"/>
          <w:b/>
          <w:i/>
          <w:color w:val="auto"/>
          <w:sz w:val="24"/>
          <w:szCs w:val="24"/>
        </w:rPr>
      </w:pPr>
      <w:r w:rsidRPr="00BE18A9">
        <w:rPr>
          <w:rFonts w:ascii="Times New Roman" w:hAnsi="Times New Roman" w:cs="Times New Roman"/>
          <w:b/>
          <w:i/>
          <w:color w:val="auto"/>
          <w:sz w:val="24"/>
          <w:szCs w:val="24"/>
        </w:rPr>
        <w:t>Netýká se této stavby</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20909">
        <w:rPr>
          <w:rFonts w:ascii="Times New Roman" w:eastAsia="Times New Roman" w:hAnsi="Times New Roman" w:cs="Times New Roman"/>
          <w:color w:val="000000"/>
          <w:sz w:val="24"/>
          <w:szCs w:val="24"/>
          <w:lang w:eastAsia="cs-CZ"/>
        </w:rPr>
        <w:t>B.2.11</w:t>
      </w:r>
      <w:proofErr w:type="gramEnd"/>
      <w:r w:rsidRPr="00D20909">
        <w:rPr>
          <w:rFonts w:ascii="Times New Roman" w:eastAsia="Times New Roman" w:hAnsi="Times New Roman" w:cs="Times New Roman"/>
          <w:color w:val="000000"/>
          <w:sz w:val="24"/>
          <w:szCs w:val="24"/>
          <w:lang w:eastAsia="cs-CZ"/>
        </w:rPr>
        <w:t xml:space="preserve"> Zásady ochrany stavby před negativními účinky vnějšího prostředí</w:t>
      </w:r>
    </w:p>
    <w:p w:rsidR="002E3C59" w:rsidRPr="00BE18A9" w:rsidRDefault="002E3C59" w:rsidP="002E3C59">
      <w:pPr>
        <w:pStyle w:val="499textodrazeny"/>
        <w:ind w:left="0"/>
        <w:jc w:val="both"/>
        <w:rPr>
          <w:rFonts w:ascii="Times New Roman" w:hAnsi="Times New Roman" w:cs="Times New Roman"/>
          <w:b/>
          <w:i/>
          <w:color w:val="auto"/>
          <w:sz w:val="24"/>
          <w:szCs w:val="24"/>
        </w:rPr>
      </w:pPr>
      <w:r w:rsidRPr="00BE18A9">
        <w:rPr>
          <w:rFonts w:ascii="Times New Roman" w:hAnsi="Times New Roman" w:cs="Times New Roman"/>
          <w:b/>
          <w:i/>
          <w:color w:val="auto"/>
          <w:sz w:val="24"/>
          <w:szCs w:val="24"/>
        </w:rPr>
        <w:t>Netýká se této stavby</w:t>
      </w:r>
    </w:p>
    <w:p w:rsidR="002E3C59" w:rsidRPr="00D2090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20909">
        <w:rPr>
          <w:rFonts w:ascii="Times New Roman" w:eastAsia="Times New Roman" w:hAnsi="Times New Roman" w:cs="Times New Roman"/>
          <w:color w:val="000000"/>
          <w:sz w:val="24"/>
          <w:szCs w:val="24"/>
          <w:lang w:eastAsia="cs-CZ"/>
        </w:rPr>
        <w:t>B.3 Připojení</w:t>
      </w:r>
      <w:proofErr w:type="gramEnd"/>
      <w:r w:rsidRPr="00D20909">
        <w:rPr>
          <w:rFonts w:ascii="Times New Roman" w:eastAsia="Times New Roman" w:hAnsi="Times New Roman" w:cs="Times New Roman"/>
          <w:color w:val="000000"/>
          <w:sz w:val="24"/>
          <w:szCs w:val="24"/>
          <w:lang w:eastAsia="cs-CZ"/>
        </w:rPr>
        <w:t xml:space="preserve"> na technickou infrastrukturu</w:t>
      </w:r>
    </w:p>
    <w:p w:rsidR="002E3C59" w:rsidRPr="00941E56" w:rsidRDefault="002E3C59" w:rsidP="002E3C59">
      <w:pPr>
        <w:pStyle w:val="499textodrazeny"/>
        <w:ind w:left="0"/>
        <w:jc w:val="both"/>
        <w:rPr>
          <w:rFonts w:ascii="Times New Roman" w:hAnsi="Times New Roman" w:cs="Times New Roman"/>
          <w:b/>
          <w:i/>
          <w:color w:val="auto"/>
          <w:sz w:val="24"/>
          <w:szCs w:val="24"/>
        </w:rPr>
      </w:pPr>
      <w:r w:rsidRPr="00941E56">
        <w:rPr>
          <w:rFonts w:ascii="Times New Roman" w:hAnsi="Times New Roman" w:cs="Times New Roman"/>
          <w:b/>
          <w:i/>
          <w:color w:val="auto"/>
          <w:sz w:val="24"/>
          <w:szCs w:val="24"/>
        </w:rPr>
        <w:t>Zůstává stávající</w:t>
      </w:r>
    </w:p>
    <w:p w:rsidR="002E3C59" w:rsidRPr="00D2090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20909">
        <w:rPr>
          <w:rFonts w:ascii="Times New Roman" w:eastAsia="Times New Roman" w:hAnsi="Times New Roman" w:cs="Times New Roman"/>
          <w:color w:val="000000"/>
          <w:sz w:val="24"/>
          <w:szCs w:val="24"/>
          <w:lang w:eastAsia="cs-CZ"/>
        </w:rPr>
        <w:t>B.4 Dopravní</w:t>
      </w:r>
      <w:proofErr w:type="gramEnd"/>
      <w:r w:rsidRPr="00D20909">
        <w:rPr>
          <w:rFonts w:ascii="Times New Roman" w:eastAsia="Times New Roman" w:hAnsi="Times New Roman" w:cs="Times New Roman"/>
          <w:color w:val="000000"/>
          <w:sz w:val="24"/>
          <w:szCs w:val="24"/>
          <w:lang w:eastAsia="cs-CZ"/>
        </w:rPr>
        <w:t xml:space="preserve"> řešení</w:t>
      </w:r>
    </w:p>
    <w:p w:rsidR="002E3C59" w:rsidRPr="00941E56" w:rsidRDefault="002E3C59" w:rsidP="002E3C59">
      <w:pPr>
        <w:pStyle w:val="499textodrazeny"/>
        <w:ind w:left="0"/>
        <w:jc w:val="both"/>
        <w:rPr>
          <w:rFonts w:ascii="Times New Roman" w:hAnsi="Times New Roman" w:cs="Times New Roman"/>
          <w:b/>
          <w:i/>
          <w:color w:val="auto"/>
          <w:sz w:val="24"/>
          <w:szCs w:val="24"/>
        </w:rPr>
      </w:pPr>
      <w:r w:rsidRPr="00941E56">
        <w:rPr>
          <w:rFonts w:ascii="Times New Roman" w:hAnsi="Times New Roman" w:cs="Times New Roman"/>
          <w:b/>
          <w:i/>
          <w:color w:val="auto"/>
          <w:sz w:val="24"/>
          <w:szCs w:val="24"/>
        </w:rPr>
        <w:t>Viz B2.3</w:t>
      </w:r>
    </w:p>
    <w:p w:rsidR="002E3C59" w:rsidRPr="00D2090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20909">
        <w:rPr>
          <w:rFonts w:ascii="Times New Roman" w:eastAsia="Times New Roman" w:hAnsi="Times New Roman" w:cs="Times New Roman"/>
          <w:color w:val="000000"/>
          <w:sz w:val="24"/>
          <w:szCs w:val="24"/>
          <w:lang w:eastAsia="cs-CZ"/>
        </w:rPr>
        <w:t>B.5 Řešení</w:t>
      </w:r>
      <w:proofErr w:type="gramEnd"/>
      <w:r w:rsidRPr="00D20909">
        <w:rPr>
          <w:rFonts w:ascii="Times New Roman" w:eastAsia="Times New Roman" w:hAnsi="Times New Roman" w:cs="Times New Roman"/>
          <w:color w:val="000000"/>
          <w:sz w:val="24"/>
          <w:szCs w:val="24"/>
          <w:lang w:eastAsia="cs-CZ"/>
        </w:rPr>
        <w:t xml:space="preserve"> vegetace a souvisejících terénních úprav</w:t>
      </w:r>
    </w:p>
    <w:p w:rsidR="002E3C59" w:rsidRPr="00941E56" w:rsidRDefault="002E3C59" w:rsidP="002E3C59">
      <w:pPr>
        <w:pStyle w:val="499textodrazeny"/>
        <w:ind w:left="0"/>
        <w:jc w:val="both"/>
        <w:rPr>
          <w:rFonts w:ascii="Times New Roman" w:hAnsi="Times New Roman" w:cs="Times New Roman"/>
          <w:b/>
          <w:i/>
          <w:color w:val="auto"/>
          <w:sz w:val="24"/>
          <w:szCs w:val="24"/>
        </w:rPr>
      </w:pPr>
      <w:r w:rsidRPr="00941E56">
        <w:rPr>
          <w:rFonts w:ascii="Times New Roman" w:hAnsi="Times New Roman" w:cs="Times New Roman"/>
          <w:b/>
          <w:i/>
          <w:color w:val="auto"/>
          <w:sz w:val="24"/>
          <w:szCs w:val="24"/>
        </w:rPr>
        <w:t xml:space="preserve">Dojde pouze k ozelenění stávajících ploch, poškozených výstavbou </w:t>
      </w:r>
    </w:p>
    <w:p w:rsidR="002E3C59" w:rsidRPr="00D2090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20909">
        <w:rPr>
          <w:rFonts w:ascii="Times New Roman" w:eastAsia="Times New Roman" w:hAnsi="Times New Roman" w:cs="Times New Roman"/>
          <w:color w:val="000000"/>
          <w:sz w:val="24"/>
          <w:szCs w:val="24"/>
          <w:lang w:eastAsia="cs-CZ"/>
        </w:rPr>
        <w:t>B.6 Popis</w:t>
      </w:r>
      <w:proofErr w:type="gramEnd"/>
      <w:r w:rsidRPr="00D20909">
        <w:rPr>
          <w:rFonts w:ascii="Times New Roman" w:eastAsia="Times New Roman" w:hAnsi="Times New Roman" w:cs="Times New Roman"/>
          <w:color w:val="000000"/>
          <w:sz w:val="24"/>
          <w:szCs w:val="24"/>
          <w:lang w:eastAsia="cs-CZ"/>
        </w:rPr>
        <w:t xml:space="preserve"> vlivů stavby na životní prostředí a jeho ochrana</w:t>
      </w:r>
    </w:p>
    <w:p w:rsidR="002E3C59" w:rsidRPr="00941E56" w:rsidRDefault="002E3C59" w:rsidP="002E3C59">
      <w:pPr>
        <w:pStyle w:val="499textodrazeny"/>
        <w:ind w:left="0"/>
        <w:jc w:val="both"/>
        <w:rPr>
          <w:rFonts w:ascii="Times New Roman" w:hAnsi="Times New Roman" w:cs="Times New Roman"/>
          <w:b/>
          <w:i/>
          <w:color w:val="auto"/>
          <w:sz w:val="24"/>
          <w:szCs w:val="24"/>
        </w:rPr>
      </w:pPr>
      <w:r w:rsidRPr="00941E56">
        <w:rPr>
          <w:rFonts w:ascii="Times New Roman" w:hAnsi="Times New Roman" w:cs="Times New Roman"/>
          <w:b/>
          <w:i/>
          <w:color w:val="auto"/>
          <w:sz w:val="24"/>
          <w:szCs w:val="24"/>
        </w:rPr>
        <w:t xml:space="preserve">Vliv na životní </w:t>
      </w:r>
      <w:proofErr w:type="spellStart"/>
      <w:r w:rsidRPr="00941E56">
        <w:rPr>
          <w:rFonts w:ascii="Times New Roman" w:hAnsi="Times New Roman" w:cs="Times New Roman"/>
          <w:b/>
          <w:i/>
          <w:color w:val="auto"/>
          <w:sz w:val="24"/>
          <w:szCs w:val="24"/>
        </w:rPr>
        <w:t>prosředí</w:t>
      </w:r>
      <w:proofErr w:type="spellEnd"/>
      <w:r w:rsidRPr="00941E56">
        <w:rPr>
          <w:rFonts w:ascii="Times New Roman" w:hAnsi="Times New Roman" w:cs="Times New Roman"/>
          <w:b/>
          <w:i/>
          <w:color w:val="auto"/>
          <w:sz w:val="24"/>
          <w:szCs w:val="24"/>
        </w:rPr>
        <w:t xml:space="preserve"> je </w:t>
      </w:r>
      <w:proofErr w:type="spellStart"/>
      <w:r w:rsidRPr="00941E56">
        <w:rPr>
          <w:rFonts w:ascii="Times New Roman" w:hAnsi="Times New Roman" w:cs="Times New Roman"/>
          <w:b/>
          <w:i/>
          <w:color w:val="auto"/>
          <w:sz w:val="24"/>
          <w:szCs w:val="24"/>
        </w:rPr>
        <w:t>stadardní</w:t>
      </w:r>
      <w:proofErr w:type="spellEnd"/>
      <w:r w:rsidRPr="00941E56">
        <w:rPr>
          <w:rFonts w:ascii="Times New Roman" w:hAnsi="Times New Roman" w:cs="Times New Roman"/>
          <w:b/>
          <w:i/>
          <w:color w:val="auto"/>
          <w:sz w:val="24"/>
          <w:szCs w:val="24"/>
        </w:rPr>
        <w:t xml:space="preserve"> a odpovídá typu stavby</w:t>
      </w:r>
    </w:p>
    <w:p w:rsidR="002E3C59" w:rsidRPr="00B47761" w:rsidRDefault="002E3C59" w:rsidP="002E3C59">
      <w:pPr>
        <w:pStyle w:val="499textodrazeny"/>
        <w:ind w:left="0"/>
        <w:jc w:val="both"/>
        <w:rPr>
          <w:rFonts w:ascii="Times New Roman" w:hAnsi="Times New Roman" w:cs="Times New Roman"/>
          <w:b/>
          <w:i/>
          <w:color w:val="auto"/>
          <w:sz w:val="24"/>
          <w:szCs w:val="24"/>
        </w:rPr>
      </w:pPr>
      <w:r w:rsidRPr="00941E56">
        <w:rPr>
          <w:rFonts w:ascii="Times New Roman" w:hAnsi="Times New Roman" w:cs="Times New Roman"/>
          <w:b/>
          <w:i/>
          <w:color w:val="auto"/>
          <w:sz w:val="24"/>
          <w:szCs w:val="24"/>
        </w:rPr>
        <w:t>Hluk</w:t>
      </w:r>
      <w:r w:rsidR="003669C2">
        <w:rPr>
          <w:rFonts w:ascii="Times New Roman" w:hAnsi="Times New Roman" w:cs="Times New Roman"/>
          <w:b/>
          <w:i/>
          <w:color w:val="auto"/>
          <w:sz w:val="24"/>
          <w:szCs w:val="24"/>
        </w:rPr>
        <w:t xml:space="preserve"> - </w:t>
      </w:r>
      <w:r w:rsidRPr="00B47761">
        <w:rPr>
          <w:rFonts w:ascii="Times New Roman" w:hAnsi="Times New Roman" w:cs="Times New Roman"/>
          <w:b/>
          <w:i/>
          <w:color w:val="auto"/>
          <w:sz w:val="24"/>
          <w:szCs w:val="24"/>
        </w:rPr>
        <w:tab/>
        <w:t xml:space="preserve">V období výstavby dojde k dočasnému zvýšení hladiny hluku. Zhotovitel stavby bude provádět preventivní opatření ke snížení těchto vlivů, stavební činnosti a nákladní doprava budou prováděny pouze v denní době. </w:t>
      </w:r>
    </w:p>
    <w:p w:rsidR="002E3C59" w:rsidRPr="00941E56" w:rsidRDefault="002E3C59" w:rsidP="002E3C59">
      <w:pPr>
        <w:pStyle w:val="499textodrazeny"/>
        <w:ind w:left="0"/>
        <w:jc w:val="both"/>
        <w:rPr>
          <w:rFonts w:ascii="Times New Roman" w:hAnsi="Times New Roman" w:cs="Times New Roman"/>
          <w:b/>
          <w:i/>
          <w:color w:val="auto"/>
          <w:sz w:val="24"/>
          <w:szCs w:val="24"/>
        </w:rPr>
      </w:pPr>
    </w:p>
    <w:p w:rsidR="002E3C59" w:rsidRPr="00B47761" w:rsidRDefault="002E3C59" w:rsidP="002E3C59">
      <w:pPr>
        <w:pStyle w:val="499textodrazeny"/>
        <w:ind w:left="0"/>
        <w:jc w:val="both"/>
        <w:rPr>
          <w:rFonts w:ascii="Times New Roman" w:hAnsi="Times New Roman" w:cs="Times New Roman"/>
          <w:b/>
          <w:i/>
          <w:color w:val="auto"/>
          <w:sz w:val="24"/>
          <w:szCs w:val="24"/>
        </w:rPr>
      </w:pPr>
      <w:r w:rsidRPr="00941E56">
        <w:rPr>
          <w:rFonts w:ascii="Times New Roman" w:hAnsi="Times New Roman" w:cs="Times New Roman"/>
          <w:b/>
          <w:i/>
          <w:color w:val="auto"/>
          <w:sz w:val="24"/>
          <w:szCs w:val="24"/>
        </w:rPr>
        <w:t>Emise z</w:t>
      </w:r>
      <w:r w:rsidR="003669C2">
        <w:rPr>
          <w:rFonts w:ascii="Times New Roman" w:hAnsi="Times New Roman" w:cs="Times New Roman"/>
          <w:b/>
          <w:i/>
          <w:color w:val="auto"/>
          <w:sz w:val="24"/>
          <w:szCs w:val="24"/>
        </w:rPr>
        <w:t> </w:t>
      </w:r>
      <w:r w:rsidRPr="00941E56">
        <w:rPr>
          <w:rFonts w:ascii="Times New Roman" w:hAnsi="Times New Roman" w:cs="Times New Roman"/>
          <w:b/>
          <w:i/>
          <w:color w:val="auto"/>
          <w:sz w:val="24"/>
          <w:szCs w:val="24"/>
        </w:rPr>
        <w:t>dopravy</w:t>
      </w:r>
      <w:r w:rsidR="003669C2">
        <w:rPr>
          <w:rFonts w:ascii="Times New Roman" w:hAnsi="Times New Roman" w:cs="Times New Roman"/>
          <w:b/>
          <w:i/>
          <w:color w:val="auto"/>
          <w:sz w:val="24"/>
          <w:szCs w:val="24"/>
        </w:rPr>
        <w:t xml:space="preserve"> - </w:t>
      </w:r>
      <w:r w:rsidRPr="00B47761">
        <w:rPr>
          <w:rFonts w:ascii="Times New Roman" w:hAnsi="Times New Roman" w:cs="Times New Roman"/>
          <w:b/>
          <w:i/>
          <w:color w:val="auto"/>
          <w:sz w:val="24"/>
          <w:szCs w:val="24"/>
        </w:rPr>
        <w:t>V období výstavby dojde k dočasnému zvýšení emisí (stavební stroje a nákladní doprava). Za provozu zůstane emisní situace vyhovující.</w:t>
      </w:r>
    </w:p>
    <w:p w:rsidR="002E3C59" w:rsidRPr="00941E56" w:rsidRDefault="002E3C59" w:rsidP="002E3C59">
      <w:pPr>
        <w:pStyle w:val="499textodrazeny"/>
        <w:ind w:left="0"/>
        <w:jc w:val="both"/>
        <w:rPr>
          <w:rFonts w:ascii="Times New Roman" w:hAnsi="Times New Roman" w:cs="Times New Roman"/>
          <w:b/>
          <w:i/>
          <w:color w:val="auto"/>
          <w:sz w:val="24"/>
          <w:szCs w:val="24"/>
        </w:rPr>
      </w:pPr>
    </w:p>
    <w:p w:rsidR="002E3C59" w:rsidRPr="00941E56" w:rsidRDefault="002E3C59" w:rsidP="002E3C59">
      <w:pPr>
        <w:pStyle w:val="499textodrazeny"/>
        <w:ind w:left="0"/>
        <w:jc w:val="both"/>
        <w:rPr>
          <w:rFonts w:ascii="Times New Roman" w:hAnsi="Times New Roman" w:cs="Times New Roman"/>
          <w:b/>
          <w:i/>
          <w:color w:val="auto"/>
          <w:sz w:val="24"/>
          <w:szCs w:val="24"/>
        </w:rPr>
      </w:pPr>
      <w:r w:rsidRPr="00941E56">
        <w:rPr>
          <w:rFonts w:ascii="Times New Roman" w:hAnsi="Times New Roman" w:cs="Times New Roman"/>
          <w:b/>
          <w:i/>
          <w:color w:val="auto"/>
          <w:sz w:val="24"/>
          <w:szCs w:val="24"/>
        </w:rPr>
        <w:t>Vliv znečištěných vod na vodní toky a zdroje</w:t>
      </w:r>
    </w:p>
    <w:p w:rsidR="002E3C59" w:rsidRPr="00B47761" w:rsidRDefault="002E3C59" w:rsidP="002E3C59">
      <w:pPr>
        <w:pStyle w:val="499textodrazeny"/>
        <w:ind w:left="0"/>
        <w:jc w:val="both"/>
        <w:rPr>
          <w:rFonts w:ascii="Times New Roman" w:hAnsi="Times New Roman" w:cs="Times New Roman"/>
          <w:b/>
          <w:i/>
          <w:color w:val="auto"/>
          <w:sz w:val="24"/>
          <w:szCs w:val="24"/>
        </w:rPr>
      </w:pPr>
      <w:r w:rsidRPr="00B47761">
        <w:rPr>
          <w:rFonts w:ascii="Times New Roman" w:hAnsi="Times New Roman" w:cs="Times New Roman"/>
          <w:b/>
          <w:i/>
          <w:color w:val="auto"/>
          <w:sz w:val="24"/>
          <w:szCs w:val="24"/>
        </w:rPr>
        <w:tab/>
        <w:t>Zhotovitel stavby bude při výstavbě provádět preventivní opatření ke snížení rizika znečištění vod. Bude používat pouze mechanizmy a vozidla v náležitém technickém stavu.</w:t>
      </w:r>
    </w:p>
    <w:p w:rsidR="002E3C59" w:rsidRPr="00D2090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20909">
        <w:rPr>
          <w:rFonts w:ascii="Times New Roman" w:eastAsia="Times New Roman" w:hAnsi="Times New Roman" w:cs="Times New Roman"/>
          <w:color w:val="000000"/>
          <w:sz w:val="24"/>
          <w:szCs w:val="24"/>
          <w:lang w:eastAsia="cs-CZ"/>
        </w:rPr>
        <w:t>B.7 Ochrana</w:t>
      </w:r>
      <w:proofErr w:type="gramEnd"/>
      <w:r w:rsidRPr="00D20909">
        <w:rPr>
          <w:rFonts w:ascii="Times New Roman" w:eastAsia="Times New Roman" w:hAnsi="Times New Roman" w:cs="Times New Roman"/>
          <w:color w:val="000000"/>
          <w:sz w:val="24"/>
          <w:szCs w:val="24"/>
          <w:lang w:eastAsia="cs-CZ"/>
        </w:rPr>
        <w:t xml:space="preserve"> obyvatelstva</w:t>
      </w:r>
    </w:p>
    <w:p w:rsidR="002E3C59" w:rsidRPr="00BE18A9" w:rsidRDefault="002E3C59" w:rsidP="002E3C59">
      <w:pPr>
        <w:pStyle w:val="499textodrazeny"/>
        <w:ind w:left="0"/>
        <w:jc w:val="both"/>
        <w:rPr>
          <w:rFonts w:ascii="Times New Roman" w:hAnsi="Times New Roman" w:cs="Times New Roman"/>
          <w:b/>
          <w:i/>
          <w:color w:val="auto"/>
          <w:sz w:val="24"/>
          <w:szCs w:val="24"/>
        </w:rPr>
      </w:pPr>
      <w:r w:rsidRPr="00BE18A9">
        <w:rPr>
          <w:rFonts w:ascii="Times New Roman" w:hAnsi="Times New Roman" w:cs="Times New Roman"/>
          <w:b/>
          <w:i/>
          <w:color w:val="auto"/>
          <w:sz w:val="24"/>
          <w:szCs w:val="24"/>
        </w:rPr>
        <w:t>Netýká se této stavby</w:t>
      </w:r>
    </w:p>
    <w:p w:rsidR="002E3C59" w:rsidRPr="00D2090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20909">
        <w:rPr>
          <w:rFonts w:ascii="Times New Roman" w:eastAsia="Times New Roman" w:hAnsi="Times New Roman" w:cs="Times New Roman"/>
          <w:color w:val="000000"/>
          <w:sz w:val="24"/>
          <w:szCs w:val="24"/>
          <w:lang w:eastAsia="cs-CZ"/>
        </w:rPr>
        <w:t>B.8 Zásady</w:t>
      </w:r>
      <w:proofErr w:type="gramEnd"/>
      <w:r w:rsidRPr="00D20909">
        <w:rPr>
          <w:rFonts w:ascii="Times New Roman" w:eastAsia="Times New Roman" w:hAnsi="Times New Roman" w:cs="Times New Roman"/>
          <w:color w:val="000000"/>
          <w:sz w:val="24"/>
          <w:szCs w:val="24"/>
          <w:lang w:eastAsia="cs-CZ"/>
        </w:rPr>
        <w:t xml:space="preserve"> organizace výstavby</w:t>
      </w:r>
    </w:p>
    <w:p w:rsidR="002E3C59" w:rsidRPr="00D2090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20909">
        <w:rPr>
          <w:rFonts w:ascii="Times New Roman" w:eastAsia="Times New Roman" w:hAnsi="Times New Roman" w:cs="Times New Roman"/>
          <w:color w:val="000000"/>
          <w:sz w:val="24"/>
          <w:szCs w:val="24"/>
          <w:lang w:eastAsia="cs-CZ"/>
        </w:rPr>
        <w:t>B.8.1</w:t>
      </w:r>
      <w:proofErr w:type="gramEnd"/>
      <w:r w:rsidRPr="00D20909">
        <w:rPr>
          <w:rFonts w:ascii="Times New Roman" w:eastAsia="Times New Roman" w:hAnsi="Times New Roman" w:cs="Times New Roman"/>
          <w:color w:val="000000"/>
          <w:sz w:val="24"/>
          <w:szCs w:val="24"/>
          <w:lang w:eastAsia="cs-CZ"/>
        </w:rPr>
        <w:t xml:space="preserve"> Technická zpráva</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a)</w:t>
      </w:r>
      <w:r w:rsidRPr="00D20909">
        <w:rPr>
          <w:rFonts w:ascii="Times New Roman" w:eastAsia="Times New Roman" w:hAnsi="Times New Roman" w:cs="Times New Roman"/>
          <w:color w:val="000000"/>
          <w:sz w:val="24"/>
          <w:szCs w:val="24"/>
          <w:lang w:eastAsia="cs-CZ"/>
        </w:rPr>
        <w:t> potřeby a spotřeby rozhodujících médií a hmot, jejich zajištění,</w:t>
      </w:r>
    </w:p>
    <w:p w:rsidR="002E3C59" w:rsidRPr="00941E56" w:rsidRDefault="002E3C59" w:rsidP="002E3C59">
      <w:pPr>
        <w:pStyle w:val="499textodrazeny"/>
        <w:ind w:left="0"/>
        <w:jc w:val="both"/>
        <w:rPr>
          <w:rFonts w:ascii="Times New Roman" w:hAnsi="Times New Roman" w:cs="Times New Roman"/>
          <w:b/>
          <w:i/>
          <w:color w:val="auto"/>
          <w:sz w:val="24"/>
          <w:szCs w:val="24"/>
        </w:rPr>
      </w:pPr>
      <w:r w:rsidRPr="00941E56">
        <w:rPr>
          <w:rFonts w:ascii="Times New Roman" w:hAnsi="Times New Roman" w:cs="Times New Roman"/>
          <w:b/>
          <w:i/>
          <w:color w:val="auto"/>
          <w:sz w:val="24"/>
          <w:szCs w:val="24"/>
        </w:rPr>
        <w:t>Stavba spotřebovává standartní hmoty a m</w:t>
      </w:r>
      <w:r w:rsidR="00AF553B">
        <w:rPr>
          <w:rFonts w:ascii="Times New Roman" w:hAnsi="Times New Roman" w:cs="Times New Roman"/>
          <w:b/>
          <w:i/>
          <w:color w:val="auto"/>
          <w:sz w:val="24"/>
          <w:szCs w:val="24"/>
        </w:rPr>
        <w:t xml:space="preserve">ateriály – </w:t>
      </w:r>
      <w:proofErr w:type="spellStart"/>
      <w:r w:rsidR="00AF553B">
        <w:rPr>
          <w:rFonts w:ascii="Times New Roman" w:hAnsi="Times New Roman" w:cs="Times New Roman"/>
          <w:b/>
          <w:i/>
          <w:color w:val="auto"/>
          <w:sz w:val="24"/>
          <w:szCs w:val="24"/>
        </w:rPr>
        <w:t>štěrkodrtě</w:t>
      </w:r>
      <w:proofErr w:type="spellEnd"/>
      <w:r w:rsidR="00AF553B">
        <w:rPr>
          <w:rFonts w:ascii="Times New Roman" w:hAnsi="Times New Roman" w:cs="Times New Roman"/>
          <w:b/>
          <w:i/>
          <w:color w:val="auto"/>
          <w:sz w:val="24"/>
          <w:szCs w:val="24"/>
        </w:rPr>
        <w:t>, kamenivo</w:t>
      </w:r>
      <w:r w:rsidR="00A04934">
        <w:rPr>
          <w:rFonts w:ascii="Times New Roman" w:hAnsi="Times New Roman" w:cs="Times New Roman"/>
          <w:b/>
          <w:i/>
          <w:color w:val="auto"/>
          <w:sz w:val="24"/>
          <w:szCs w:val="24"/>
        </w:rPr>
        <w:t>, betony</w:t>
      </w:r>
      <w:r w:rsidR="00AF553B">
        <w:rPr>
          <w:rFonts w:ascii="Times New Roman" w:hAnsi="Times New Roman" w:cs="Times New Roman"/>
          <w:b/>
          <w:i/>
          <w:color w:val="auto"/>
          <w:sz w:val="24"/>
          <w:szCs w:val="24"/>
        </w:rPr>
        <w:t xml:space="preserve"> apod</w:t>
      </w:r>
      <w:r w:rsidRPr="00941E56">
        <w:rPr>
          <w:rFonts w:ascii="Times New Roman" w:hAnsi="Times New Roman" w:cs="Times New Roman"/>
          <w:b/>
          <w:i/>
          <w:color w:val="auto"/>
          <w:sz w:val="24"/>
          <w:szCs w:val="24"/>
        </w:rPr>
        <w:t>. Vzhledem ke stísněným podmínkám na staveništi není možnost deponovat tyto materiály na stavbě</w:t>
      </w:r>
      <w:r w:rsidR="00AF553B">
        <w:rPr>
          <w:rFonts w:ascii="Times New Roman" w:hAnsi="Times New Roman" w:cs="Times New Roman"/>
          <w:b/>
          <w:i/>
          <w:color w:val="auto"/>
          <w:sz w:val="24"/>
          <w:szCs w:val="24"/>
        </w:rPr>
        <w:t>, resp. v minimálním množství</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b)</w:t>
      </w:r>
      <w:r w:rsidRPr="00D20909">
        <w:rPr>
          <w:rFonts w:ascii="Times New Roman" w:eastAsia="Times New Roman" w:hAnsi="Times New Roman" w:cs="Times New Roman"/>
          <w:color w:val="000000"/>
          <w:sz w:val="24"/>
          <w:szCs w:val="24"/>
          <w:lang w:eastAsia="cs-CZ"/>
        </w:rPr>
        <w:t> odvodnění staveniště,</w:t>
      </w:r>
    </w:p>
    <w:p w:rsidR="002E3C59" w:rsidRPr="00941E56" w:rsidRDefault="002E3C59" w:rsidP="002E3C59">
      <w:pPr>
        <w:pStyle w:val="499textodrazeny"/>
        <w:ind w:left="0"/>
        <w:jc w:val="both"/>
        <w:rPr>
          <w:rFonts w:ascii="Times New Roman" w:hAnsi="Times New Roman" w:cs="Times New Roman"/>
          <w:b/>
          <w:i/>
          <w:color w:val="auto"/>
          <w:sz w:val="24"/>
          <w:szCs w:val="24"/>
        </w:rPr>
      </w:pPr>
      <w:r>
        <w:rPr>
          <w:rFonts w:ascii="Times New Roman" w:hAnsi="Times New Roman" w:cs="Times New Roman"/>
          <w:b/>
          <w:i/>
          <w:color w:val="auto"/>
          <w:sz w:val="24"/>
          <w:szCs w:val="24"/>
        </w:rPr>
        <w:t>S</w:t>
      </w:r>
      <w:r w:rsidRPr="00941E56">
        <w:rPr>
          <w:rFonts w:ascii="Times New Roman" w:hAnsi="Times New Roman" w:cs="Times New Roman"/>
          <w:b/>
          <w:i/>
          <w:color w:val="auto"/>
          <w:sz w:val="24"/>
          <w:szCs w:val="24"/>
        </w:rPr>
        <w:t>taveniště je odvodněno stávajícím způsobem</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c)</w:t>
      </w:r>
      <w:r w:rsidRPr="00D20909">
        <w:rPr>
          <w:rFonts w:ascii="Times New Roman" w:eastAsia="Times New Roman" w:hAnsi="Times New Roman" w:cs="Times New Roman"/>
          <w:color w:val="000000"/>
          <w:sz w:val="24"/>
          <w:szCs w:val="24"/>
          <w:lang w:eastAsia="cs-CZ"/>
        </w:rPr>
        <w:t> napojení staveniště na stávající dopravní a technickou infrastrukturu,</w:t>
      </w:r>
    </w:p>
    <w:p w:rsidR="002E3C59" w:rsidRPr="00941E56" w:rsidRDefault="002E3C59" w:rsidP="002E3C59">
      <w:pPr>
        <w:pStyle w:val="499textodrazeny"/>
        <w:ind w:left="0"/>
        <w:jc w:val="both"/>
        <w:rPr>
          <w:rFonts w:ascii="Times New Roman" w:hAnsi="Times New Roman" w:cs="Times New Roman"/>
          <w:b/>
          <w:i/>
          <w:color w:val="auto"/>
          <w:sz w:val="24"/>
          <w:szCs w:val="24"/>
        </w:rPr>
      </w:pPr>
      <w:r>
        <w:rPr>
          <w:rFonts w:ascii="Times New Roman" w:hAnsi="Times New Roman" w:cs="Times New Roman"/>
          <w:b/>
          <w:i/>
          <w:color w:val="auto"/>
          <w:sz w:val="24"/>
          <w:szCs w:val="24"/>
        </w:rPr>
        <w:t>Z</w:t>
      </w:r>
      <w:r w:rsidRPr="00941E56">
        <w:rPr>
          <w:rFonts w:ascii="Times New Roman" w:hAnsi="Times New Roman" w:cs="Times New Roman"/>
          <w:b/>
          <w:i/>
          <w:color w:val="auto"/>
          <w:sz w:val="24"/>
          <w:szCs w:val="24"/>
        </w:rPr>
        <w:t>ůstává stávající</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d)</w:t>
      </w:r>
      <w:r w:rsidRPr="00D20909">
        <w:rPr>
          <w:rFonts w:ascii="Times New Roman" w:eastAsia="Times New Roman" w:hAnsi="Times New Roman" w:cs="Times New Roman"/>
          <w:color w:val="000000"/>
          <w:sz w:val="24"/>
          <w:szCs w:val="24"/>
          <w:lang w:eastAsia="cs-CZ"/>
        </w:rPr>
        <w:t> vliv provádění stavby na okolní stavby a pozemky,</w:t>
      </w:r>
    </w:p>
    <w:p w:rsidR="002E3C59" w:rsidRPr="00B37B80" w:rsidRDefault="002E3C59" w:rsidP="002E3C59">
      <w:pPr>
        <w:pStyle w:val="499textodrazeny"/>
        <w:ind w:left="0"/>
        <w:jc w:val="both"/>
        <w:rPr>
          <w:rFonts w:ascii="Times New Roman" w:hAnsi="Times New Roman" w:cs="Times New Roman"/>
          <w:b/>
          <w:i/>
          <w:color w:val="auto"/>
          <w:sz w:val="24"/>
          <w:szCs w:val="24"/>
        </w:rPr>
      </w:pPr>
      <w:r w:rsidRPr="00B37B80">
        <w:rPr>
          <w:rFonts w:ascii="Times New Roman" w:hAnsi="Times New Roman" w:cs="Times New Roman"/>
          <w:b/>
          <w:i/>
          <w:color w:val="auto"/>
          <w:sz w:val="24"/>
          <w:szCs w:val="24"/>
        </w:rPr>
        <w:t>Stavba by měla být realizována tak, aby vliv na sousední pozemky byl naprosto minimální</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e)</w:t>
      </w:r>
      <w:r w:rsidRPr="00D20909">
        <w:rPr>
          <w:rFonts w:ascii="Times New Roman" w:eastAsia="Times New Roman" w:hAnsi="Times New Roman" w:cs="Times New Roman"/>
          <w:color w:val="000000"/>
          <w:sz w:val="24"/>
          <w:szCs w:val="24"/>
          <w:lang w:eastAsia="cs-CZ"/>
        </w:rPr>
        <w:t> ochrana okolí staveniště a požadavky na související asanace, demolice, kácení dřevin,</w:t>
      </w:r>
    </w:p>
    <w:p w:rsidR="002E3C59" w:rsidRPr="00B37B80" w:rsidRDefault="002E3C59" w:rsidP="002E3C59">
      <w:pPr>
        <w:pStyle w:val="499textodrazeny"/>
        <w:ind w:left="0"/>
        <w:jc w:val="both"/>
        <w:rPr>
          <w:rFonts w:ascii="Times New Roman" w:hAnsi="Times New Roman" w:cs="Times New Roman"/>
          <w:b/>
          <w:i/>
          <w:color w:val="auto"/>
          <w:sz w:val="24"/>
          <w:szCs w:val="24"/>
        </w:rPr>
      </w:pPr>
      <w:r w:rsidRPr="00B37B80">
        <w:rPr>
          <w:rFonts w:ascii="Times New Roman" w:hAnsi="Times New Roman" w:cs="Times New Roman"/>
          <w:b/>
          <w:i/>
          <w:color w:val="auto"/>
          <w:sz w:val="24"/>
          <w:szCs w:val="24"/>
        </w:rPr>
        <w:t xml:space="preserve">Netýká se této </w:t>
      </w:r>
      <w:proofErr w:type="gramStart"/>
      <w:r w:rsidRPr="00B37B80">
        <w:rPr>
          <w:rFonts w:ascii="Times New Roman" w:hAnsi="Times New Roman" w:cs="Times New Roman"/>
          <w:b/>
          <w:i/>
          <w:color w:val="auto"/>
          <w:sz w:val="24"/>
          <w:szCs w:val="24"/>
        </w:rPr>
        <w:t>stavby</w:t>
      </w:r>
      <w:r w:rsidR="00BC676D">
        <w:rPr>
          <w:rFonts w:ascii="Times New Roman" w:hAnsi="Times New Roman" w:cs="Times New Roman"/>
          <w:b/>
          <w:i/>
          <w:color w:val="auto"/>
          <w:sz w:val="24"/>
          <w:szCs w:val="24"/>
        </w:rPr>
        <w:t>(pouze</w:t>
      </w:r>
      <w:proofErr w:type="gramEnd"/>
      <w:r w:rsidR="00BC676D">
        <w:rPr>
          <w:rFonts w:ascii="Times New Roman" w:hAnsi="Times New Roman" w:cs="Times New Roman"/>
          <w:b/>
          <w:i/>
          <w:color w:val="auto"/>
          <w:sz w:val="24"/>
          <w:szCs w:val="24"/>
        </w:rPr>
        <w:t xml:space="preserve"> minimální kácení drobných stromků v silničním příkopu – náletová zeleň)</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f)</w:t>
      </w:r>
      <w:r w:rsidRPr="00D20909">
        <w:rPr>
          <w:rFonts w:ascii="Times New Roman" w:eastAsia="Times New Roman" w:hAnsi="Times New Roman" w:cs="Times New Roman"/>
          <w:color w:val="000000"/>
          <w:sz w:val="24"/>
          <w:szCs w:val="24"/>
          <w:lang w:eastAsia="cs-CZ"/>
        </w:rPr>
        <w:t> maximální dočasné a trvalé zábory pro staveniště,</w:t>
      </w:r>
    </w:p>
    <w:p w:rsidR="002E3C59" w:rsidRPr="000E517D" w:rsidRDefault="002E3C59" w:rsidP="000E517D">
      <w:pPr>
        <w:pStyle w:val="499textodrazeny"/>
        <w:ind w:left="0"/>
        <w:jc w:val="both"/>
        <w:rPr>
          <w:rFonts w:ascii="Times New Roman" w:hAnsi="Times New Roman" w:cs="Times New Roman"/>
          <w:b/>
          <w:i/>
          <w:color w:val="auto"/>
          <w:sz w:val="24"/>
          <w:szCs w:val="24"/>
        </w:rPr>
      </w:pPr>
      <w:r w:rsidRPr="000E517D">
        <w:rPr>
          <w:rFonts w:ascii="Times New Roman" w:hAnsi="Times New Roman" w:cs="Times New Roman"/>
          <w:b/>
          <w:i/>
          <w:color w:val="auto"/>
          <w:sz w:val="24"/>
          <w:szCs w:val="24"/>
        </w:rPr>
        <w:t xml:space="preserve">Stavba neskýtá možnost záborů </w:t>
      </w:r>
      <w:r w:rsidR="00AF553B">
        <w:rPr>
          <w:rFonts w:ascii="Times New Roman" w:hAnsi="Times New Roman" w:cs="Times New Roman"/>
          <w:b/>
          <w:i/>
          <w:color w:val="auto"/>
          <w:sz w:val="24"/>
          <w:szCs w:val="24"/>
        </w:rPr>
        <w:t>mimo stavební pozemek</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g)</w:t>
      </w:r>
      <w:r w:rsidRPr="00D20909">
        <w:rPr>
          <w:rFonts w:ascii="Times New Roman" w:eastAsia="Times New Roman" w:hAnsi="Times New Roman" w:cs="Times New Roman"/>
          <w:color w:val="000000"/>
          <w:sz w:val="24"/>
          <w:szCs w:val="24"/>
          <w:lang w:eastAsia="cs-CZ"/>
        </w:rPr>
        <w:t xml:space="preserve"> požadavky na bezbariérové </w:t>
      </w:r>
      <w:proofErr w:type="spellStart"/>
      <w:r w:rsidRPr="00D20909">
        <w:rPr>
          <w:rFonts w:ascii="Times New Roman" w:eastAsia="Times New Roman" w:hAnsi="Times New Roman" w:cs="Times New Roman"/>
          <w:color w:val="000000"/>
          <w:sz w:val="24"/>
          <w:szCs w:val="24"/>
          <w:lang w:eastAsia="cs-CZ"/>
        </w:rPr>
        <w:t>obchozí</w:t>
      </w:r>
      <w:proofErr w:type="spellEnd"/>
      <w:r w:rsidRPr="00D20909">
        <w:rPr>
          <w:rFonts w:ascii="Times New Roman" w:eastAsia="Times New Roman" w:hAnsi="Times New Roman" w:cs="Times New Roman"/>
          <w:color w:val="000000"/>
          <w:sz w:val="24"/>
          <w:szCs w:val="24"/>
          <w:lang w:eastAsia="cs-CZ"/>
        </w:rPr>
        <w:t xml:space="preserve"> trasy,</w:t>
      </w:r>
    </w:p>
    <w:p w:rsidR="002E3C59" w:rsidRPr="00B37B80" w:rsidRDefault="002E3C59" w:rsidP="002E3C59">
      <w:pPr>
        <w:pStyle w:val="499textodrazeny"/>
        <w:ind w:left="0"/>
        <w:jc w:val="both"/>
        <w:rPr>
          <w:rFonts w:ascii="Times New Roman" w:hAnsi="Times New Roman" w:cs="Times New Roman"/>
          <w:b/>
          <w:i/>
          <w:color w:val="auto"/>
          <w:sz w:val="24"/>
          <w:szCs w:val="24"/>
        </w:rPr>
      </w:pPr>
      <w:r w:rsidRPr="00B37B80">
        <w:rPr>
          <w:rFonts w:ascii="Times New Roman" w:hAnsi="Times New Roman" w:cs="Times New Roman"/>
          <w:b/>
          <w:i/>
          <w:color w:val="auto"/>
          <w:sz w:val="24"/>
          <w:szCs w:val="24"/>
        </w:rPr>
        <w:t>Netýká se této stavby</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lastRenderedPageBreak/>
        <w:t>h)</w:t>
      </w:r>
      <w:r w:rsidRPr="00D20909">
        <w:rPr>
          <w:rFonts w:ascii="Times New Roman" w:eastAsia="Times New Roman" w:hAnsi="Times New Roman" w:cs="Times New Roman"/>
          <w:color w:val="000000"/>
          <w:sz w:val="24"/>
          <w:szCs w:val="24"/>
          <w:lang w:eastAsia="cs-CZ"/>
        </w:rPr>
        <w:t> maximální produkovaná množství a druhy odpadů a emisí při výstavbě, jejich likvidace,</w:t>
      </w:r>
    </w:p>
    <w:p w:rsidR="002E3C59" w:rsidRPr="00B47761" w:rsidRDefault="002E3C59" w:rsidP="002E3C59">
      <w:pPr>
        <w:pStyle w:val="499textodrazeny"/>
        <w:ind w:left="0"/>
        <w:jc w:val="both"/>
        <w:rPr>
          <w:rFonts w:ascii="Times New Roman" w:hAnsi="Times New Roman" w:cs="Times New Roman"/>
          <w:b/>
          <w:i/>
          <w:color w:val="auto"/>
          <w:sz w:val="24"/>
          <w:szCs w:val="24"/>
        </w:rPr>
      </w:pPr>
      <w:r w:rsidRPr="00B47761">
        <w:rPr>
          <w:rFonts w:ascii="Times New Roman" w:hAnsi="Times New Roman" w:cs="Times New Roman"/>
          <w:b/>
          <w:i/>
          <w:color w:val="auto"/>
          <w:sz w:val="24"/>
          <w:szCs w:val="24"/>
        </w:rPr>
        <w:t>V období výstavby</w:t>
      </w:r>
    </w:p>
    <w:p w:rsidR="002E3C59" w:rsidRPr="00B47761" w:rsidRDefault="002E3C59" w:rsidP="002E3C59">
      <w:pPr>
        <w:pStyle w:val="499textodrazeny"/>
        <w:ind w:left="0"/>
        <w:jc w:val="both"/>
        <w:rPr>
          <w:rFonts w:ascii="Times New Roman" w:hAnsi="Times New Roman" w:cs="Times New Roman"/>
          <w:b/>
          <w:i/>
          <w:color w:val="auto"/>
          <w:sz w:val="24"/>
          <w:szCs w:val="24"/>
        </w:rPr>
      </w:pPr>
      <w:r w:rsidRPr="00B47761">
        <w:rPr>
          <w:rFonts w:ascii="Times New Roman" w:hAnsi="Times New Roman" w:cs="Times New Roman"/>
          <w:b/>
          <w:i/>
          <w:color w:val="auto"/>
          <w:sz w:val="24"/>
          <w:szCs w:val="24"/>
        </w:rPr>
        <w:t xml:space="preserve">Při výstavbě je předpokládán vznik odpadů, </w:t>
      </w:r>
      <w:proofErr w:type="gramStart"/>
      <w:r w:rsidRPr="00B47761">
        <w:rPr>
          <w:rFonts w:ascii="Times New Roman" w:hAnsi="Times New Roman" w:cs="Times New Roman"/>
          <w:b/>
          <w:i/>
          <w:color w:val="auto"/>
          <w:sz w:val="24"/>
          <w:szCs w:val="24"/>
        </w:rPr>
        <w:t>specifikovaných  v následujícím</w:t>
      </w:r>
      <w:proofErr w:type="gramEnd"/>
      <w:r w:rsidRPr="00B47761">
        <w:rPr>
          <w:rFonts w:ascii="Times New Roman" w:hAnsi="Times New Roman" w:cs="Times New Roman"/>
          <w:b/>
          <w:i/>
          <w:color w:val="auto"/>
          <w:sz w:val="24"/>
          <w:szCs w:val="24"/>
        </w:rPr>
        <w:t xml:space="preserve"> přehledu:</w:t>
      </w:r>
    </w:p>
    <w:p w:rsidR="002E3C59" w:rsidRDefault="002E3C59" w:rsidP="002E3C59">
      <w:pPr>
        <w:jc w:val="both"/>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418"/>
        <w:gridCol w:w="5670"/>
        <w:gridCol w:w="1345"/>
      </w:tblGrid>
      <w:tr w:rsidR="00BC676D" w:rsidTr="00835C2D">
        <w:tc>
          <w:tcPr>
            <w:tcW w:w="779" w:type="dxa"/>
          </w:tcPr>
          <w:p w:rsidR="00BC676D" w:rsidRDefault="00BC676D" w:rsidP="00835C2D">
            <w:pPr>
              <w:rPr>
                <w:b/>
              </w:rPr>
            </w:pPr>
            <w:proofErr w:type="spellStart"/>
            <w:proofErr w:type="gramStart"/>
            <w:r>
              <w:rPr>
                <w:b/>
              </w:rPr>
              <w:t>Poř.č</w:t>
            </w:r>
            <w:proofErr w:type="spellEnd"/>
            <w:r>
              <w:rPr>
                <w:b/>
              </w:rPr>
              <w:t>.</w:t>
            </w:r>
            <w:proofErr w:type="gramEnd"/>
          </w:p>
        </w:tc>
        <w:tc>
          <w:tcPr>
            <w:tcW w:w="1418" w:type="dxa"/>
          </w:tcPr>
          <w:p w:rsidR="00BC676D" w:rsidRDefault="00BC676D" w:rsidP="00835C2D">
            <w:pPr>
              <w:rPr>
                <w:b/>
              </w:rPr>
            </w:pPr>
            <w:r>
              <w:rPr>
                <w:b/>
              </w:rPr>
              <w:t>Kód odpadu</w:t>
            </w:r>
          </w:p>
        </w:tc>
        <w:tc>
          <w:tcPr>
            <w:tcW w:w="5670" w:type="dxa"/>
          </w:tcPr>
          <w:p w:rsidR="00BC676D" w:rsidRDefault="00BC676D" w:rsidP="00835C2D">
            <w:pPr>
              <w:rPr>
                <w:b/>
              </w:rPr>
            </w:pPr>
            <w:r>
              <w:rPr>
                <w:b/>
              </w:rPr>
              <w:t>Název</w:t>
            </w:r>
          </w:p>
        </w:tc>
        <w:tc>
          <w:tcPr>
            <w:tcW w:w="1345" w:type="dxa"/>
          </w:tcPr>
          <w:p w:rsidR="00BC676D" w:rsidRDefault="00BC676D" w:rsidP="00835C2D">
            <w:pPr>
              <w:rPr>
                <w:b/>
              </w:rPr>
            </w:pPr>
            <w:r>
              <w:rPr>
                <w:b/>
              </w:rPr>
              <w:t>Kategorie</w:t>
            </w:r>
          </w:p>
        </w:tc>
      </w:tr>
      <w:tr w:rsidR="00BC676D" w:rsidTr="00835C2D">
        <w:trPr>
          <w:cantSplit/>
        </w:trPr>
        <w:tc>
          <w:tcPr>
            <w:tcW w:w="9212" w:type="dxa"/>
            <w:gridSpan w:val="4"/>
          </w:tcPr>
          <w:p w:rsidR="00BC676D" w:rsidRDefault="00BC676D" w:rsidP="00835C2D">
            <w:pPr>
              <w:rPr>
                <w:b/>
              </w:rPr>
            </w:pPr>
            <w:r>
              <w:rPr>
                <w:b/>
              </w:rPr>
              <w:t>17 Stavební a demoliční odpady</w:t>
            </w:r>
          </w:p>
        </w:tc>
      </w:tr>
      <w:tr w:rsidR="00BC676D" w:rsidTr="00835C2D">
        <w:tc>
          <w:tcPr>
            <w:tcW w:w="779" w:type="dxa"/>
          </w:tcPr>
          <w:p w:rsidR="00BC676D" w:rsidRDefault="00BC676D" w:rsidP="00835C2D">
            <w:r>
              <w:t>13</w:t>
            </w:r>
          </w:p>
        </w:tc>
        <w:tc>
          <w:tcPr>
            <w:tcW w:w="1418" w:type="dxa"/>
          </w:tcPr>
          <w:p w:rsidR="00BC676D" w:rsidRDefault="00BC676D" w:rsidP="00835C2D">
            <w:r>
              <w:t>17 05 04</w:t>
            </w:r>
          </w:p>
        </w:tc>
        <w:tc>
          <w:tcPr>
            <w:tcW w:w="5670" w:type="dxa"/>
          </w:tcPr>
          <w:p w:rsidR="00BC676D" w:rsidRDefault="00BC676D" w:rsidP="00835C2D">
            <w:r>
              <w:t>Zemina a kamení neuvedené pod č. 17 05 03</w:t>
            </w:r>
          </w:p>
        </w:tc>
        <w:tc>
          <w:tcPr>
            <w:tcW w:w="1345" w:type="dxa"/>
          </w:tcPr>
          <w:p w:rsidR="00BC676D" w:rsidRDefault="00BC676D" w:rsidP="00835C2D">
            <w:r>
              <w:t xml:space="preserve">O </w:t>
            </w:r>
          </w:p>
        </w:tc>
      </w:tr>
      <w:tr w:rsidR="00BC676D" w:rsidTr="00835C2D">
        <w:tc>
          <w:tcPr>
            <w:tcW w:w="779" w:type="dxa"/>
          </w:tcPr>
          <w:p w:rsidR="00BC676D" w:rsidRDefault="00BC676D" w:rsidP="00835C2D"/>
        </w:tc>
        <w:tc>
          <w:tcPr>
            <w:tcW w:w="1418" w:type="dxa"/>
          </w:tcPr>
          <w:p w:rsidR="00BC676D" w:rsidRDefault="00BC676D" w:rsidP="00835C2D">
            <w:r w:rsidRPr="00A04934">
              <w:t>170107</w:t>
            </w:r>
          </w:p>
        </w:tc>
        <w:tc>
          <w:tcPr>
            <w:tcW w:w="5670" w:type="dxa"/>
          </w:tcPr>
          <w:p w:rsidR="00BC676D" w:rsidRDefault="00BC676D" w:rsidP="00835C2D">
            <w:r w:rsidRPr="00A04934">
              <w:t>Směsi nebo oddělené frakce betonu</w:t>
            </w:r>
            <w:r w:rsidRPr="00A04934">
              <w:tab/>
              <w:t xml:space="preserve"> (vybourané betony)</w:t>
            </w:r>
          </w:p>
        </w:tc>
        <w:tc>
          <w:tcPr>
            <w:tcW w:w="1345" w:type="dxa"/>
          </w:tcPr>
          <w:p w:rsidR="00BC676D" w:rsidRDefault="00BC676D" w:rsidP="00835C2D">
            <w:r>
              <w:t>O</w:t>
            </w:r>
          </w:p>
        </w:tc>
      </w:tr>
      <w:tr w:rsidR="00BC676D" w:rsidTr="00835C2D">
        <w:tc>
          <w:tcPr>
            <w:tcW w:w="779" w:type="dxa"/>
            <w:tcBorders>
              <w:top w:val="single" w:sz="4" w:space="0" w:color="auto"/>
              <w:left w:val="single" w:sz="4" w:space="0" w:color="auto"/>
              <w:bottom w:val="single" w:sz="4" w:space="0" w:color="auto"/>
              <w:right w:val="single" w:sz="4" w:space="0" w:color="auto"/>
            </w:tcBorders>
          </w:tcPr>
          <w:p w:rsidR="00BC676D" w:rsidRDefault="00BC676D" w:rsidP="00835C2D"/>
        </w:tc>
        <w:tc>
          <w:tcPr>
            <w:tcW w:w="1418" w:type="dxa"/>
            <w:tcBorders>
              <w:top w:val="single" w:sz="4" w:space="0" w:color="auto"/>
              <w:left w:val="single" w:sz="4" w:space="0" w:color="auto"/>
              <w:bottom w:val="single" w:sz="4" w:space="0" w:color="auto"/>
              <w:right w:val="single" w:sz="4" w:space="0" w:color="auto"/>
            </w:tcBorders>
          </w:tcPr>
          <w:p w:rsidR="00BC676D" w:rsidRDefault="00BC676D" w:rsidP="00835C2D">
            <w:r w:rsidRPr="00D631E3">
              <w:rPr>
                <w:rFonts w:ascii="Calibri" w:eastAsia="Times New Roman" w:hAnsi="Calibri" w:cs="Times New Roman"/>
                <w:color w:val="000000"/>
                <w:lang w:eastAsia="cs-CZ"/>
              </w:rPr>
              <w:t>170 102</w:t>
            </w:r>
          </w:p>
        </w:tc>
        <w:tc>
          <w:tcPr>
            <w:tcW w:w="5670" w:type="dxa"/>
            <w:tcBorders>
              <w:top w:val="single" w:sz="4" w:space="0" w:color="auto"/>
              <w:left w:val="single" w:sz="4" w:space="0" w:color="auto"/>
              <w:bottom w:val="single" w:sz="4" w:space="0" w:color="auto"/>
              <w:right w:val="single" w:sz="4" w:space="0" w:color="auto"/>
            </w:tcBorders>
          </w:tcPr>
          <w:p w:rsidR="00BC676D" w:rsidRDefault="00BC676D" w:rsidP="00835C2D">
            <w:r>
              <w:rPr>
                <w:rFonts w:ascii="Calibri" w:eastAsia="Times New Roman" w:hAnsi="Calibri" w:cs="Times New Roman"/>
                <w:color w:val="000000"/>
                <w:lang w:eastAsia="cs-CZ"/>
              </w:rPr>
              <w:t>Stavební odpad cihelný</w:t>
            </w:r>
          </w:p>
        </w:tc>
        <w:tc>
          <w:tcPr>
            <w:tcW w:w="1345" w:type="dxa"/>
            <w:tcBorders>
              <w:top w:val="single" w:sz="4" w:space="0" w:color="auto"/>
              <w:left w:val="single" w:sz="4" w:space="0" w:color="auto"/>
              <w:bottom w:val="single" w:sz="4" w:space="0" w:color="auto"/>
              <w:right w:val="single" w:sz="4" w:space="0" w:color="auto"/>
            </w:tcBorders>
          </w:tcPr>
          <w:p w:rsidR="00BC676D" w:rsidRDefault="00BC676D" w:rsidP="00835C2D">
            <w:r>
              <w:t>O</w:t>
            </w:r>
          </w:p>
        </w:tc>
      </w:tr>
      <w:tr w:rsidR="002E3C59" w:rsidTr="00EC1DC9">
        <w:tc>
          <w:tcPr>
            <w:tcW w:w="779" w:type="dxa"/>
          </w:tcPr>
          <w:p w:rsidR="002E3C59" w:rsidRDefault="002E3C59" w:rsidP="00EC1DC9">
            <w:pPr>
              <w:rPr>
                <w:b/>
              </w:rPr>
            </w:pPr>
            <w:proofErr w:type="spellStart"/>
            <w:proofErr w:type="gramStart"/>
            <w:r>
              <w:rPr>
                <w:b/>
              </w:rPr>
              <w:t>Poř.č</w:t>
            </w:r>
            <w:proofErr w:type="spellEnd"/>
            <w:r>
              <w:rPr>
                <w:b/>
              </w:rPr>
              <w:t>.</w:t>
            </w:r>
            <w:proofErr w:type="gramEnd"/>
          </w:p>
        </w:tc>
        <w:tc>
          <w:tcPr>
            <w:tcW w:w="1418" w:type="dxa"/>
          </w:tcPr>
          <w:p w:rsidR="002E3C59" w:rsidRDefault="002E3C59" w:rsidP="00EC1DC9">
            <w:pPr>
              <w:rPr>
                <w:b/>
              </w:rPr>
            </w:pPr>
            <w:r>
              <w:rPr>
                <w:b/>
              </w:rPr>
              <w:t>Kód odpadu</w:t>
            </w:r>
          </w:p>
        </w:tc>
        <w:tc>
          <w:tcPr>
            <w:tcW w:w="5670" w:type="dxa"/>
          </w:tcPr>
          <w:p w:rsidR="002E3C59" w:rsidRDefault="002E3C59" w:rsidP="00EC1DC9">
            <w:pPr>
              <w:rPr>
                <w:b/>
              </w:rPr>
            </w:pPr>
            <w:r>
              <w:rPr>
                <w:b/>
              </w:rPr>
              <w:t>Název</w:t>
            </w:r>
          </w:p>
        </w:tc>
        <w:tc>
          <w:tcPr>
            <w:tcW w:w="1345" w:type="dxa"/>
          </w:tcPr>
          <w:p w:rsidR="002E3C59" w:rsidRDefault="002E3C59" w:rsidP="00EC1DC9">
            <w:pPr>
              <w:rPr>
                <w:b/>
              </w:rPr>
            </w:pPr>
            <w:r>
              <w:rPr>
                <w:b/>
              </w:rPr>
              <w:t>Kategorie</w:t>
            </w:r>
          </w:p>
        </w:tc>
      </w:tr>
    </w:tbl>
    <w:p w:rsidR="002E3C59" w:rsidRDefault="002E3C59" w:rsidP="002E3C59">
      <w:pPr>
        <w:jc w:val="both"/>
        <w:rPr>
          <w:b/>
        </w:rPr>
      </w:pPr>
    </w:p>
    <w:p w:rsidR="002E3C59" w:rsidRDefault="002E3C59" w:rsidP="002E3C59">
      <w:pPr>
        <w:ind w:firstLine="709"/>
        <w:jc w:val="both"/>
      </w:pPr>
    </w:p>
    <w:p w:rsidR="002E3C59" w:rsidRPr="00B47761" w:rsidRDefault="002E3C59" w:rsidP="002E3C59">
      <w:pPr>
        <w:pStyle w:val="499textodrazeny"/>
        <w:ind w:left="0"/>
        <w:jc w:val="both"/>
        <w:rPr>
          <w:rFonts w:ascii="Times New Roman" w:hAnsi="Times New Roman" w:cs="Times New Roman"/>
          <w:b/>
          <w:i/>
          <w:color w:val="auto"/>
          <w:sz w:val="24"/>
          <w:szCs w:val="24"/>
        </w:rPr>
      </w:pPr>
      <w:r w:rsidRPr="00B47761">
        <w:rPr>
          <w:rFonts w:ascii="Times New Roman" w:hAnsi="Times New Roman" w:cs="Times New Roman"/>
          <w:b/>
          <w:i/>
          <w:color w:val="auto"/>
          <w:sz w:val="24"/>
          <w:szCs w:val="24"/>
        </w:rPr>
        <w:tab/>
        <w:t xml:space="preserve">Nakládání s odpady musí být v souladu se zákonem 185/2001 Sb. v platném znění a vyhláškami navazujícími. Odpad bude tříděn a dle druhů a kategorií nabízen k využití nebo zajištěno jeho zneškodnění.  </w:t>
      </w:r>
    </w:p>
    <w:p w:rsidR="002E3C59" w:rsidRPr="00D2090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2E3C59" w:rsidRPr="00D2090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i)</w:t>
      </w:r>
      <w:r w:rsidRPr="00D20909">
        <w:rPr>
          <w:rFonts w:ascii="Times New Roman" w:eastAsia="Times New Roman" w:hAnsi="Times New Roman" w:cs="Times New Roman"/>
          <w:color w:val="000000"/>
          <w:sz w:val="24"/>
          <w:szCs w:val="24"/>
          <w:lang w:eastAsia="cs-CZ"/>
        </w:rPr>
        <w:t xml:space="preserve"> bilance zemních prací, požadavky na přísun nebo </w:t>
      </w:r>
      <w:proofErr w:type="spellStart"/>
      <w:r w:rsidRPr="00D20909">
        <w:rPr>
          <w:rFonts w:ascii="Times New Roman" w:eastAsia="Times New Roman" w:hAnsi="Times New Roman" w:cs="Times New Roman"/>
          <w:color w:val="000000"/>
          <w:sz w:val="24"/>
          <w:szCs w:val="24"/>
          <w:lang w:eastAsia="cs-CZ"/>
        </w:rPr>
        <w:t>deponie</w:t>
      </w:r>
      <w:proofErr w:type="spellEnd"/>
      <w:r w:rsidRPr="00D20909">
        <w:rPr>
          <w:rFonts w:ascii="Times New Roman" w:eastAsia="Times New Roman" w:hAnsi="Times New Roman" w:cs="Times New Roman"/>
          <w:color w:val="000000"/>
          <w:sz w:val="24"/>
          <w:szCs w:val="24"/>
          <w:lang w:eastAsia="cs-CZ"/>
        </w:rPr>
        <w:t xml:space="preserve"> zemin,</w:t>
      </w:r>
    </w:p>
    <w:p w:rsidR="002E3C59" w:rsidRPr="00B50DC2" w:rsidRDefault="002E3C59" w:rsidP="002E3C59">
      <w:pPr>
        <w:pStyle w:val="499textodrazeny"/>
        <w:ind w:left="0"/>
        <w:jc w:val="both"/>
        <w:rPr>
          <w:rFonts w:ascii="Times New Roman" w:hAnsi="Times New Roman" w:cs="Times New Roman"/>
          <w:b/>
          <w:i/>
          <w:color w:val="auto"/>
          <w:sz w:val="24"/>
          <w:szCs w:val="24"/>
        </w:rPr>
      </w:pPr>
      <w:r w:rsidRPr="00B50DC2">
        <w:rPr>
          <w:rFonts w:ascii="Times New Roman" w:hAnsi="Times New Roman" w:cs="Times New Roman"/>
          <w:b/>
          <w:i/>
          <w:color w:val="auto"/>
          <w:sz w:val="24"/>
          <w:szCs w:val="24"/>
        </w:rPr>
        <w:t xml:space="preserve">Vzhledem k tomu, že komunikace jsou rekonstruovány zhruba ve stejných výškových a šířkových parametrech, nepředpokládá se větší množství zemin a není tudíž nutné řešit </w:t>
      </w:r>
      <w:proofErr w:type="spellStart"/>
      <w:r w:rsidRPr="00B50DC2">
        <w:rPr>
          <w:rFonts w:ascii="Times New Roman" w:hAnsi="Times New Roman" w:cs="Times New Roman"/>
          <w:b/>
          <w:i/>
          <w:color w:val="auto"/>
          <w:sz w:val="24"/>
          <w:szCs w:val="24"/>
        </w:rPr>
        <w:t>deponie</w:t>
      </w:r>
      <w:proofErr w:type="spellEnd"/>
      <w:r w:rsidRPr="00B50DC2">
        <w:rPr>
          <w:rFonts w:ascii="Times New Roman" w:hAnsi="Times New Roman" w:cs="Times New Roman"/>
          <w:b/>
          <w:i/>
          <w:color w:val="auto"/>
          <w:sz w:val="24"/>
          <w:szCs w:val="24"/>
        </w:rPr>
        <w:t xml:space="preserve"> zemin</w:t>
      </w:r>
      <w:r>
        <w:rPr>
          <w:rFonts w:ascii="Times New Roman" w:hAnsi="Times New Roman" w:cs="Times New Roman"/>
          <w:b/>
          <w:i/>
          <w:color w:val="auto"/>
          <w:sz w:val="24"/>
          <w:szCs w:val="24"/>
        </w:rPr>
        <w:t xml:space="preserve">. Na stavbě bude odkopáno cca </w:t>
      </w:r>
      <w:r w:rsidR="00DA3EE3">
        <w:rPr>
          <w:rFonts w:ascii="Times New Roman" w:hAnsi="Times New Roman" w:cs="Times New Roman"/>
          <w:b/>
          <w:i/>
          <w:color w:val="auto"/>
          <w:sz w:val="24"/>
          <w:szCs w:val="24"/>
        </w:rPr>
        <w:t>115</w:t>
      </w:r>
      <w:r>
        <w:rPr>
          <w:rFonts w:ascii="Times New Roman" w:hAnsi="Times New Roman" w:cs="Times New Roman"/>
          <w:b/>
          <w:i/>
          <w:color w:val="auto"/>
          <w:sz w:val="24"/>
          <w:szCs w:val="24"/>
        </w:rPr>
        <w:t xml:space="preserve"> m3 zemin, částečně použitých do násypů, částečně odvezených na skládku</w:t>
      </w:r>
      <w:r w:rsidR="00DA3EE3">
        <w:rPr>
          <w:rFonts w:ascii="Times New Roman" w:hAnsi="Times New Roman" w:cs="Times New Roman"/>
          <w:b/>
          <w:i/>
          <w:color w:val="auto"/>
          <w:sz w:val="24"/>
          <w:szCs w:val="24"/>
        </w:rPr>
        <w:t>. Na obsypy a zásypy bude částečně použita stávající zemina, částečně nakupovaná</w:t>
      </w:r>
      <w:r w:rsidR="00AF553B">
        <w:rPr>
          <w:rFonts w:ascii="Times New Roman" w:hAnsi="Times New Roman" w:cs="Times New Roman"/>
          <w:b/>
          <w:i/>
          <w:color w:val="auto"/>
          <w:sz w:val="24"/>
          <w:szCs w:val="24"/>
        </w:rPr>
        <w:t xml:space="preserve"> </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j)</w:t>
      </w:r>
      <w:r w:rsidRPr="00D20909">
        <w:rPr>
          <w:rFonts w:ascii="Times New Roman" w:eastAsia="Times New Roman" w:hAnsi="Times New Roman" w:cs="Times New Roman"/>
          <w:color w:val="000000"/>
          <w:sz w:val="24"/>
          <w:szCs w:val="24"/>
          <w:lang w:eastAsia="cs-CZ"/>
        </w:rPr>
        <w:t> ochrana životního prostředí při výstavbě,</w:t>
      </w:r>
    </w:p>
    <w:p w:rsidR="002E3C59" w:rsidRPr="00B50DC2" w:rsidRDefault="002E3C59" w:rsidP="002E3C59">
      <w:pPr>
        <w:pStyle w:val="499textodrazeny"/>
        <w:ind w:left="0"/>
        <w:jc w:val="both"/>
        <w:rPr>
          <w:rFonts w:ascii="Times New Roman" w:hAnsi="Times New Roman" w:cs="Times New Roman"/>
          <w:b/>
          <w:i/>
          <w:color w:val="auto"/>
          <w:sz w:val="24"/>
          <w:szCs w:val="24"/>
        </w:rPr>
      </w:pPr>
      <w:r w:rsidRPr="00B50DC2">
        <w:rPr>
          <w:rFonts w:ascii="Times New Roman" w:hAnsi="Times New Roman" w:cs="Times New Roman"/>
          <w:b/>
          <w:i/>
          <w:color w:val="auto"/>
          <w:sz w:val="24"/>
          <w:szCs w:val="24"/>
        </w:rPr>
        <w:t>Bude postupováno standartním způsobem</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k)</w:t>
      </w:r>
      <w:r w:rsidRPr="00D20909">
        <w:rPr>
          <w:rFonts w:ascii="Times New Roman" w:eastAsia="Times New Roman" w:hAnsi="Times New Roman" w:cs="Times New Roman"/>
          <w:color w:val="000000"/>
          <w:sz w:val="24"/>
          <w:szCs w:val="24"/>
          <w:lang w:eastAsia="cs-CZ"/>
        </w:rPr>
        <w:t> zásady bezpečnosti a ochrany zdraví při práci na staveništi,</w:t>
      </w:r>
    </w:p>
    <w:p w:rsidR="002E3C59" w:rsidRPr="00B47761" w:rsidRDefault="002E3C59" w:rsidP="002E3C59">
      <w:pPr>
        <w:pStyle w:val="499textodrazeny"/>
        <w:ind w:left="0"/>
        <w:jc w:val="both"/>
        <w:rPr>
          <w:rFonts w:ascii="Times New Roman" w:hAnsi="Times New Roman" w:cs="Times New Roman"/>
          <w:b/>
          <w:i/>
          <w:color w:val="auto"/>
          <w:sz w:val="24"/>
          <w:szCs w:val="24"/>
        </w:rPr>
      </w:pPr>
      <w:r w:rsidRPr="00B47761">
        <w:rPr>
          <w:rFonts w:ascii="Times New Roman" w:hAnsi="Times New Roman" w:cs="Times New Roman"/>
          <w:b/>
          <w:i/>
          <w:color w:val="auto"/>
          <w:sz w:val="24"/>
          <w:szCs w:val="24"/>
        </w:rPr>
        <w:t>V oblasti BOZP bude konáno dle zák. 309/2006 Sb., kterým se upravují další požadavky bezpečnosti a ochrany zdraví při práci v pracovněprávních vztazích a o zajištění bezpečnosti a ochrany zdraví při činnosti nebo poskytování služeb mimo pracovněprávní vztahy zejména ve smyslu Nařízení vlády č. 361/2007 Sb., kterým se stanoví podmínky ochrany zdraví při práci a č. 591/2006 Sb., o bližších minimálních požadavcích na bezpečnost a ochranu zdraví při práci na staveništích.</w:t>
      </w:r>
    </w:p>
    <w:p w:rsidR="002E3C59" w:rsidRPr="00B47761" w:rsidRDefault="002E3C59" w:rsidP="002E3C59">
      <w:pPr>
        <w:pStyle w:val="499textodrazeny"/>
        <w:ind w:left="0"/>
        <w:jc w:val="both"/>
        <w:rPr>
          <w:rFonts w:ascii="Times New Roman" w:hAnsi="Times New Roman" w:cs="Times New Roman"/>
          <w:b/>
          <w:i/>
          <w:color w:val="auto"/>
          <w:sz w:val="24"/>
          <w:szCs w:val="24"/>
        </w:rPr>
      </w:pPr>
      <w:r w:rsidRPr="00B47761">
        <w:rPr>
          <w:rFonts w:ascii="Times New Roman" w:hAnsi="Times New Roman" w:cs="Times New Roman"/>
          <w:b/>
          <w:i/>
          <w:color w:val="auto"/>
          <w:sz w:val="24"/>
          <w:szCs w:val="24"/>
        </w:rPr>
        <w:t>Předání staveniště</w:t>
      </w:r>
    </w:p>
    <w:p w:rsidR="002E3C59" w:rsidRPr="00B47761" w:rsidRDefault="002E3C59" w:rsidP="002E3C59">
      <w:pPr>
        <w:pStyle w:val="499textodrazeny"/>
        <w:ind w:left="0"/>
        <w:jc w:val="both"/>
        <w:rPr>
          <w:rFonts w:ascii="Times New Roman" w:hAnsi="Times New Roman" w:cs="Times New Roman"/>
          <w:b/>
          <w:i/>
          <w:color w:val="auto"/>
          <w:sz w:val="24"/>
          <w:szCs w:val="24"/>
        </w:rPr>
      </w:pPr>
      <w:r w:rsidRPr="00B47761">
        <w:rPr>
          <w:rFonts w:ascii="Times New Roman" w:hAnsi="Times New Roman" w:cs="Times New Roman"/>
          <w:b/>
          <w:i/>
          <w:color w:val="auto"/>
          <w:sz w:val="24"/>
          <w:szCs w:val="24"/>
        </w:rPr>
        <w:tab/>
        <w:t>Při předání a převzetí staveniště proběhne jeho prohlídka za účasti pověřených osob stavebníka a stavebního podnikatele. Při pochůzkou provedené prohlídce budou kontrolovány níže požadované a projektované stavy. O předání a převzetí staveniště bude vyhotoven protokol s uvedením zjištěných skutečností a bude o něm proveden zápis do SD.</w:t>
      </w:r>
    </w:p>
    <w:p w:rsidR="002E3C59" w:rsidRPr="00B47761" w:rsidRDefault="002E3C59" w:rsidP="002E3C59">
      <w:pPr>
        <w:pStyle w:val="499textodrazeny"/>
        <w:ind w:left="0"/>
        <w:jc w:val="both"/>
        <w:rPr>
          <w:rFonts w:ascii="Times New Roman" w:hAnsi="Times New Roman" w:cs="Times New Roman"/>
          <w:b/>
          <w:i/>
          <w:color w:val="auto"/>
          <w:sz w:val="24"/>
          <w:szCs w:val="24"/>
        </w:rPr>
      </w:pPr>
      <w:r w:rsidRPr="00B47761">
        <w:rPr>
          <w:rFonts w:ascii="Times New Roman" w:hAnsi="Times New Roman" w:cs="Times New Roman"/>
          <w:b/>
          <w:i/>
          <w:color w:val="auto"/>
          <w:sz w:val="24"/>
          <w:szCs w:val="24"/>
        </w:rPr>
        <w:tab/>
        <w:t>Na staveništi a v jeho bezprostředním okolí bude provedeno vytýčení všech podzemních sítí technické infrastruktury s barevným rozlišením jejich průběhu na povrchu terénu.</w:t>
      </w:r>
    </w:p>
    <w:p w:rsidR="002E3C59" w:rsidRPr="00B47761" w:rsidRDefault="002E3C59" w:rsidP="002E3C59">
      <w:pPr>
        <w:pStyle w:val="499textodrazeny"/>
        <w:ind w:left="0"/>
        <w:jc w:val="both"/>
        <w:rPr>
          <w:rFonts w:ascii="Times New Roman" w:hAnsi="Times New Roman" w:cs="Times New Roman"/>
          <w:b/>
          <w:i/>
          <w:color w:val="auto"/>
          <w:sz w:val="24"/>
          <w:szCs w:val="24"/>
        </w:rPr>
      </w:pPr>
      <w:r w:rsidRPr="00B47761">
        <w:rPr>
          <w:rFonts w:ascii="Times New Roman" w:hAnsi="Times New Roman" w:cs="Times New Roman"/>
          <w:b/>
          <w:i/>
          <w:color w:val="auto"/>
          <w:sz w:val="24"/>
          <w:szCs w:val="24"/>
        </w:rPr>
        <w:lastRenderedPageBreak/>
        <w:tab/>
        <w:t>Stavebník seznámí stavebního podnikatele s přístupy na staveniště a s dopravními trasami pro příjezd vozidel a odvoz výkopků a vybouraných hmot.</w:t>
      </w:r>
    </w:p>
    <w:p w:rsidR="002E3C59" w:rsidRPr="00B47761" w:rsidRDefault="002E3C59" w:rsidP="002E3C59">
      <w:pPr>
        <w:pStyle w:val="499textodrazeny"/>
        <w:ind w:left="0"/>
        <w:jc w:val="both"/>
        <w:rPr>
          <w:rFonts w:ascii="Times New Roman" w:hAnsi="Times New Roman" w:cs="Times New Roman"/>
          <w:b/>
          <w:i/>
          <w:color w:val="auto"/>
          <w:sz w:val="24"/>
          <w:szCs w:val="24"/>
        </w:rPr>
      </w:pPr>
      <w:r w:rsidRPr="00B47761">
        <w:rPr>
          <w:rFonts w:ascii="Times New Roman" w:hAnsi="Times New Roman" w:cs="Times New Roman"/>
          <w:b/>
          <w:i/>
          <w:color w:val="auto"/>
          <w:sz w:val="24"/>
          <w:szCs w:val="24"/>
        </w:rPr>
        <w:t>Předávající a přejímající se vzájemně seznámí s výskytem rizik z hlediska BOZP, PO a ochrany životního prostředí a prokazatelně a protokolárně s těmito riziky seznámí všechny pracovníky a jiné osoby, které můžou vstoupit na staveniště.</w:t>
      </w:r>
    </w:p>
    <w:p w:rsidR="002E3C59" w:rsidRPr="00B47761" w:rsidRDefault="002E3C59" w:rsidP="002E3C59">
      <w:pPr>
        <w:pStyle w:val="499textodrazeny"/>
        <w:ind w:left="0"/>
        <w:jc w:val="both"/>
        <w:rPr>
          <w:rFonts w:ascii="Times New Roman" w:hAnsi="Times New Roman" w:cs="Times New Roman"/>
          <w:b/>
          <w:i/>
          <w:color w:val="auto"/>
          <w:sz w:val="24"/>
          <w:szCs w:val="24"/>
        </w:rPr>
      </w:pPr>
      <w:r w:rsidRPr="00B47761">
        <w:rPr>
          <w:rFonts w:ascii="Times New Roman" w:hAnsi="Times New Roman" w:cs="Times New Roman"/>
          <w:b/>
          <w:i/>
          <w:color w:val="auto"/>
          <w:sz w:val="24"/>
          <w:szCs w:val="24"/>
        </w:rPr>
        <w:t>Stavebník předá stavebnímu podnikateli staveniště prosté všech překážek, zvláště strojů a zařízení, které by bránily pohybu pracovníků a stavebních strojů nebo jiným způsobem ohrožovali bezpečnost práce. Staveniště nemusí být v době předání a převzetí oploceno pokud stavebník se stavebním podnikatelem smluvně sjednali, že oplocení provede stavební podnikatel před zahájením prací v rámci zřizování objektů staveniště.</w:t>
      </w:r>
    </w:p>
    <w:p w:rsidR="002E3C59" w:rsidRDefault="002E3C59" w:rsidP="002E3C59"/>
    <w:p w:rsidR="002E3C59" w:rsidRPr="00D2090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l)</w:t>
      </w:r>
      <w:r w:rsidRPr="00D20909">
        <w:rPr>
          <w:rFonts w:ascii="Times New Roman" w:eastAsia="Times New Roman" w:hAnsi="Times New Roman" w:cs="Times New Roman"/>
          <w:color w:val="000000"/>
          <w:sz w:val="24"/>
          <w:szCs w:val="24"/>
          <w:lang w:eastAsia="cs-CZ"/>
        </w:rPr>
        <w:t> úpravy pro bezbariérové užívání výstavbou dotčených staveb,</w:t>
      </w:r>
    </w:p>
    <w:p w:rsidR="002E3C59" w:rsidRPr="00B50DC2" w:rsidRDefault="002E3C59" w:rsidP="002E3C59">
      <w:pPr>
        <w:pStyle w:val="499textodrazeny"/>
        <w:ind w:left="0"/>
        <w:jc w:val="both"/>
        <w:rPr>
          <w:rFonts w:ascii="Times New Roman" w:hAnsi="Times New Roman" w:cs="Times New Roman"/>
          <w:b/>
          <w:i/>
          <w:color w:val="auto"/>
          <w:sz w:val="24"/>
          <w:szCs w:val="24"/>
        </w:rPr>
      </w:pPr>
      <w:r w:rsidRPr="00B50DC2">
        <w:rPr>
          <w:rFonts w:ascii="Times New Roman" w:hAnsi="Times New Roman" w:cs="Times New Roman"/>
          <w:b/>
          <w:i/>
          <w:color w:val="auto"/>
          <w:sz w:val="24"/>
          <w:szCs w:val="24"/>
        </w:rPr>
        <w:t xml:space="preserve">Nejsou předpokládány žádné nestandartní úpravy pro </w:t>
      </w:r>
      <w:proofErr w:type="spellStart"/>
      <w:r w:rsidRPr="00B50DC2">
        <w:rPr>
          <w:rFonts w:ascii="Times New Roman" w:hAnsi="Times New Roman" w:cs="Times New Roman"/>
          <w:b/>
          <w:i/>
          <w:color w:val="auto"/>
          <w:sz w:val="24"/>
          <w:szCs w:val="24"/>
        </w:rPr>
        <w:t>bezbarierové</w:t>
      </w:r>
      <w:proofErr w:type="spellEnd"/>
      <w:r w:rsidRPr="00B50DC2">
        <w:rPr>
          <w:rFonts w:ascii="Times New Roman" w:hAnsi="Times New Roman" w:cs="Times New Roman"/>
          <w:b/>
          <w:i/>
          <w:color w:val="auto"/>
          <w:sz w:val="24"/>
          <w:szCs w:val="24"/>
        </w:rPr>
        <w:t xml:space="preserve"> užívání komunikací</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m)</w:t>
      </w:r>
      <w:r w:rsidRPr="00D20909">
        <w:rPr>
          <w:rFonts w:ascii="Times New Roman" w:eastAsia="Times New Roman" w:hAnsi="Times New Roman" w:cs="Times New Roman"/>
          <w:color w:val="000000"/>
          <w:sz w:val="24"/>
          <w:szCs w:val="24"/>
          <w:lang w:eastAsia="cs-CZ"/>
        </w:rPr>
        <w:t> zásady pro dopravní inženýrská opatření,</w:t>
      </w:r>
    </w:p>
    <w:p w:rsidR="002E3C59" w:rsidRPr="00B50DC2" w:rsidRDefault="002E3C59" w:rsidP="002E3C59">
      <w:pPr>
        <w:pStyle w:val="499textodrazeny"/>
        <w:ind w:left="0"/>
        <w:jc w:val="both"/>
        <w:rPr>
          <w:rFonts w:ascii="Times New Roman" w:hAnsi="Times New Roman" w:cs="Times New Roman"/>
          <w:b/>
          <w:i/>
          <w:color w:val="auto"/>
          <w:sz w:val="24"/>
          <w:szCs w:val="24"/>
        </w:rPr>
      </w:pPr>
      <w:r w:rsidRPr="00B50DC2">
        <w:rPr>
          <w:rFonts w:ascii="Times New Roman" w:hAnsi="Times New Roman" w:cs="Times New Roman"/>
          <w:b/>
          <w:i/>
          <w:color w:val="auto"/>
          <w:sz w:val="24"/>
          <w:szCs w:val="24"/>
        </w:rPr>
        <w:t xml:space="preserve">Zhotovitel si navrhne </w:t>
      </w:r>
      <w:proofErr w:type="gramStart"/>
      <w:r w:rsidRPr="00B50DC2">
        <w:rPr>
          <w:rFonts w:ascii="Times New Roman" w:hAnsi="Times New Roman" w:cs="Times New Roman"/>
          <w:b/>
          <w:i/>
          <w:color w:val="auto"/>
          <w:sz w:val="24"/>
          <w:szCs w:val="24"/>
        </w:rPr>
        <w:t>DIO</w:t>
      </w:r>
      <w:proofErr w:type="gramEnd"/>
      <w:r w:rsidRPr="00B50DC2">
        <w:rPr>
          <w:rFonts w:ascii="Times New Roman" w:hAnsi="Times New Roman" w:cs="Times New Roman"/>
          <w:b/>
          <w:i/>
          <w:color w:val="auto"/>
          <w:sz w:val="24"/>
          <w:szCs w:val="24"/>
        </w:rPr>
        <w:t xml:space="preserve"> v návaznosti na navržený postup výstavby. DIO bude respektovat výstavbu po dílčích etapách (výše popsaných). Dojde k osazení dopravních značek, řešících zákaz stání, šířkové uspořádání, omezení rychlosti </w:t>
      </w:r>
      <w:proofErr w:type="spellStart"/>
      <w:r w:rsidRPr="00B50DC2">
        <w:rPr>
          <w:rFonts w:ascii="Times New Roman" w:hAnsi="Times New Roman" w:cs="Times New Roman"/>
          <w:b/>
          <w:i/>
          <w:color w:val="auto"/>
          <w:sz w:val="24"/>
          <w:szCs w:val="24"/>
        </w:rPr>
        <w:t>apod</w:t>
      </w:r>
      <w:proofErr w:type="spellEnd"/>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n)</w:t>
      </w:r>
      <w:r w:rsidRPr="00D20909">
        <w:rPr>
          <w:rFonts w:ascii="Times New Roman" w:eastAsia="Times New Roman" w:hAnsi="Times New Roman" w:cs="Times New Roman"/>
          <w:color w:val="000000"/>
          <w:sz w:val="24"/>
          <w:szCs w:val="24"/>
          <w:lang w:eastAsia="cs-CZ"/>
        </w:rPr>
        <w:t> stanovení speciálních podmínek pro provádění stavby - řešení dopravy během výstavby, například přepravní a přístupové trasy, zvláštní užívání pozemní komunikace, uzavírky, objížďky a výluky; opatření proti účinkům vnějšího prostředí při výstavbě apod.,</w:t>
      </w:r>
    </w:p>
    <w:p w:rsidR="002E3C59" w:rsidRPr="0067269B" w:rsidRDefault="002E3C59" w:rsidP="002E3C59">
      <w:pPr>
        <w:pStyle w:val="499textodrazeny"/>
        <w:ind w:left="0"/>
        <w:jc w:val="both"/>
        <w:rPr>
          <w:rFonts w:ascii="Times New Roman" w:hAnsi="Times New Roman" w:cs="Times New Roman"/>
          <w:b/>
          <w:i/>
          <w:color w:val="auto"/>
          <w:sz w:val="24"/>
          <w:szCs w:val="24"/>
        </w:rPr>
      </w:pPr>
      <w:r w:rsidRPr="0067269B">
        <w:rPr>
          <w:rFonts w:ascii="Times New Roman" w:hAnsi="Times New Roman" w:cs="Times New Roman"/>
          <w:b/>
          <w:i/>
          <w:color w:val="auto"/>
          <w:sz w:val="24"/>
          <w:szCs w:val="24"/>
        </w:rPr>
        <w:t xml:space="preserve">Během výstavby musí zhotovitel zajistit trvalý přístup vozidlům integrovaného záchranného systému. </w:t>
      </w:r>
      <w:r>
        <w:rPr>
          <w:rFonts w:ascii="Times New Roman" w:hAnsi="Times New Roman" w:cs="Times New Roman"/>
          <w:b/>
          <w:i/>
          <w:color w:val="auto"/>
          <w:sz w:val="24"/>
          <w:szCs w:val="24"/>
        </w:rPr>
        <w:t xml:space="preserve">Vzhledem k charakteru stavby to </w:t>
      </w:r>
      <w:proofErr w:type="gramStart"/>
      <w:r>
        <w:rPr>
          <w:rFonts w:ascii="Times New Roman" w:hAnsi="Times New Roman" w:cs="Times New Roman"/>
          <w:b/>
          <w:i/>
          <w:color w:val="auto"/>
          <w:sz w:val="24"/>
          <w:szCs w:val="24"/>
        </w:rPr>
        <w:t>je  možné</w:t>
      </w:r>
      <w:proofErr w:type="gramEnd"/>
      <w:r w:rsidRPr="0067269B">
        <w:rPr>
          <w:rFonts w:ascii="Times New Roman" w:hAnsi="Times New Roman" w:cs="Times New Roman"/>
          <w:b/>
          <w:i/>
          <w:color w:val="auto"/>
          <w:sz w:val="24"/>
          <w:szCs w:val="24"/>
        </w:rPr>
        <w:t>)</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o)</w:t>
      </w:r>
      <w:r w:rsidRPr="00D20909">
        <w:rPr>
          <w:rFonts w:ascii="Times New Roman" w:eastAsia="Times New Roman" w:hAnsi="Times New Roman" w:cs="Times New Roman"/>
          <w:color w:val="000000"/>
          <w:sz w:val="24"/>
          <w:szCs w:val="24"/>
          <w:lang w:eastAsia="cs-CZ"/>
        </w:rPr>
        <w:t> zařízení staveniště s vyznačením vjezdu,</w:t>
      </w:r>
    </w:p>
    <w:p w:rsidR="002E3C59" w:rsidRPr="0067269B" w:rsidRDefault="002E3C59" w:rsidP="002E3C59">
      <w:pPr>
        <w:pStyle w:val="499textodrazeny"/>
        <w:ind w:left="0"/>
        <w:jc w:val="both"/>
        <w:rPr>
          <w:rFonts w:ascii="Times New Roman" w:hAnsi="Times New Roman" w:cs="Times New Roman"/>
          <w:b/>
          <w:i/>
          <w:color w:val="auto"/>
          <w:sz w:val="24"/>
          <w:szCs w:val="24"/>
        </w:rPr>
      </w:pPr>
      <w:r w:rsidRPr="0067269B">
        <w:rPr>
          <w:rFonts w:ascii="Times New Roman" w:hAnsi="Times New Roman" w:cs="Times New Roman"/>
          <w:b/>
          <w:i/>
          <w:color w:val="auto"/>
          <w:sz w:val="24"/>
          <w:szCs w:val="24"/>
        </w:rPr>
        <w:t>Šířkové poměry na staveništi neumožňují budování klasického zařízení staveniště</w:t>
      </w:r>
      <w:r w:rsidR="004F546E">
        <w:rPr>
          <w:rFonts w:ascii="Times New Roman" w:hAnsi="Times New Roman" w:cs="Times New Roman"/>
          <w:b/>
          <w:i/>
          <w:color w:val="auto"/>
          <w:sz w:val="24"/>
          <w:szCs w:val="24"/>
        </w:rPr>
        <w:t xml:space="preserve"> – vzhledem k rozsahu stavby to ani není nutné</w:t>
      </w:r>
    </w:p>
    <w:p w:rsidR="002E3C59" w:rsidRDefault="002E3C59" w:rsidP="002E3C59">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20909">
        <w:rPr>
          <w:rFonts w:ascii="Times New Roman" w:eastAsia="Times New Roman" w:hAnsi="Times New Roman" w:cs="Times New Roman"/>
          <w:b/>
          <w:bCs/>
          <w:color w:val="000000"/>
          <w:sz w:val="24"/>
          <w:szCs w:val="24"/>
          <w:lang w:eastAsia="cs-CZ"/>
        </w:rPr>
        <w:t>p)</w:t>
      </w:r>
      <w:r w:rsidRPr="00D20909">
        <w:rPr>
          <w:rFonts w:ascii="Times New Roman" w:eastAsia="Times New Roman" w:hAnsi="Times New Roman" w:cs="Times New Roman"/>
          <w:color w:val="000000"/>
          <w:sz w:val="24"/>
          <w:szCs w:val="24"/>
          <w:lang w:eastAsia="cs-CZ"/>
        </w:rPr>
        <w:t> postup výstavby, rozhodující dílčí termíny.</w:t>
      </w:r>
    </w:p>
    <w:p w:rsidR="002E3C59" w:rsidRPr="0067269B" w:rsidRDefault="002E3C59" w:rsidP="002E3C59">
      <w:pPr>
        <w:pStyle w:val="499textodrazeny"/>
        <w:ind w:left="0"/>
        <w:jc w:val="both"/>
        <w:rPr>
          <w:rFonts w:ascii="Times New Roman" w:hAnsi="Times New Roman" w:cs="Times New Roman"/>
          <w:b/>
          <w:i/>
          <w:color w:val="auto"/>
          <w:sz w:val="24"/>
          <w:szCs w:val="24"/>
        </w:rPr>
      </w:pPr>
      <w:r w:rsidRPr="0067269B">
        <w:rPr>
          <w:rFonts w:ascii="Times New Roman" w:hAnsi="Times New Roman" w:cs="Times New Roman"/>
          <w:b/>
          <w:i/>
          <w:color w:val="auto"/>
          <w:sz w:val="24"/>
          <w:szCs w:val="24"/>
        </w:rPr>
        <w:t xml:space="preserve">Bude předmětem výběrového řízení. Lhůta výstavby by se měla pohybovat okolo </w:t>
      </w:r>
      <w:r w:rsidR="004F546E">
        <w:rPr>
          <w:rFonts w:ascii="Times New Roman" w:hAnsi="Times New Roman" w:cs="Times New Roman"/>
          <w:b/>
          <w:i/>
          <w:color w:val="auto"/>
          <w:sz w:val="24"/>
          <w:szCs w:val="24"/>
        </w:rPr>
        <w:t>2</w:t>
      </w:r>
      <w:r w:rsidRPr="0067269B">
        <w:rPr>
          <w:rFonts w:ascii="Times New Roman" w:hAnsi="Times New Roman" w:cs="Times New Roman"/>
          <w:b/>
          <w:i/>
          <w:color w:val="auto"/>
          <w:sz w:val="24"/>
          <w:szCs w:val="24"/>
        </w:rPr>
        <w:t xml:space="preserve"> měsíců</w:t>
      </w:r>
      <w:r>
        <w:rPr>
          <w:rFonts w:ascii="Times New Roman" w:hAnsi="Times New Roman" w:cs="Times New Roman"/>
          <w:b/>
          <w:i/>
          <w:color w:val="auto"/>
          <w:sz w:val="24"/>
          <w:szCs w:val="24"/>
        </w:rPr>
        <w:t xml:space="preserve">. </w:t>
      </w:r>
    </w:p>
    <w:p w:rsidR="002E3C59" w:rsidRPr="0067269B" w:rsidRDefault="002E3C59" w:rsidP="002E3C59">
      <w:pPr>
        <w:pStyle w:val="499textodrazeny"/>
        <w:ind w:left="0"/>
        <w:jc w:val="both"/>
        <w:rPr>
          <w:rFonts w:ascii="Times New Roman" w:hAnsi="Times New Roman" w:cs="Times New Roman"/>
          <w:b/>
          <w:i/>
          <w:color w:val="auto"/>
          <w:sz w:val="24"/>
          <w:szCs w:val="24"/>
        </w:rPr>
      </w:pPr>
    </w:p>
    <w:p w:rsidR="00AD5876" w:rsidRDefault="00AD5876"/>
    <w:sectPr w:rsidR="00AD587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676" w:rsidRDefault="00142676" w:rsidP="000E517D">
      <w:pPr>
        <w:spacing w:after="0" w:line="240" w:lineRule="auto"/>
      </w:pPr>
      <w:r>
        <w:separator/>
      </w:r>
    </w:p>
  </w:endnote>
  <w:endnote w:type="continuationSeparator" w:id="0">
    <w:p w:rsidR="00142676" w:rsidRDefault="00142676" w:rsidP="000E5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17D" w:rsidRDefault="000E517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17D" w:rsidRDefault="000E517D">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17D" w:rsidRDefault="000E517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676" w:rsidRDefault="00142676" w:rsidP="000E517D">
      <w:pPr>
        <w:spacing w:after="0" w:line="240" w:lineRule="auto"/>
      </w:pPr>
      <w:r>
        <w:separator/>
      </w:r>
    </w:p>
  </w:footnote>
  <w:footnote w:type="continuationSeparator" w:id="0">
    <w:p w:rsidR="00142676" w:rsidRDefault="00142676" w:rsidP="000E51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17D" w:rsidRDefault="000E517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21B" w:rsidRDefault="00DA3EE3" w:rsidP="007E4A45">
    <w:pPr>
      <w:pStyle w:val="Zhlav"/>
      <w:tabs>
        <w:tab w:val="left" w:pos="2268"/>
      </w:tabs>
      <w:jc w:val="right"/>
    </w:pPr>
    <w:sdt>
      <w:sdtPr>
        <w:id w:val="-1285415836"/>
        <w:docPartObj>
          <w:docPartGallery w:val="Page Numbers (Top of Page)"/>
          <w:docPartUnique/>
        </w:docPartObj>
      </w:sdtPr>
      <w:sdtEndPr/>
      <w:sdtContent>
        <w:r>
          <w:t>DPT/</w:t>
        </w:r>
        <w:bookmarkStart w:id="0" w:name="_GoBack"/>
        <w:bookmarkEnd w:id="0"/>
        <w:r w:rsidR="00142676">
          <w:fldChar w:fldCharType="begin"/>
        </w:r>
        <w:r w:rsidR="00142676">
          <w:instrText>PAGE   \* MERGEFORMAT</w:instrText>
        </w:r>
        <w:r w:rsidR="00142676">
          <w:fldChar w:fldCharType="separate"/>
        </w:r>
        <w:r>
          <w:rPr>
            <w:noProof/>
          </w:rPr>
          <w:t>2</w:t>
        </w:r>
        <w:r w:rsidR="00142676">
          <w:fldChar w:fldCharType="end"/>
        </w:r>
      </w:sdtContent>
    </w:sdt>
  </w:p>
  <w:p w:rsidR="002E621B" w:rsidRDefault="00DA3EE3">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17D" w:rsidRDefault="000E517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94886"/>
    <w:multiLevelType w:val="hybridMultilevel"/>
    <w:tmpl w:val="DE782FE4"/>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C59"/>
    <w:rsid w:val="000E517D"/>
    <w:rsid w:val="00142676"/>
    <w:rsid w:val="00160A1D"/>
    <w:rsid w:val="00194C79"/>
    <w:rsid w:val="00272429"/>
    <w:rsid w:val="002E3C59"/>
    <w:rsid w:val="003669C2"/>
    <w:rsid w:val="004F546E"/>
    <w:rsid w:val="0073278D"/>
    <w:rsid w:val="008D24C9"/>
    <w:rsid w:val="009702BF"/>
    <w:rsid w:val="00A04934"/>
    <w:rsid w:val="00AD5876"/>
    <w:rsid w:val="00AF553B"/>
    <w:rsid w:val="00BC676D"/>
    <w:rsid w:val="00D4443F"/>
    <w:rsid w:val="00DA3EE3"/>
    <w:rsid w:val="00EB7A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E3C5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499textodrazeny">
    <w:name w:val="499_text_odrazeny"/>
    <w:basedOn w:val="Normln"/>
    <w:link w:val="499textodrazenyChar"/>
    <w:uiPriority w:val="99"/>
    <w:rsid w:val="002E3C59"/>
    <w:pPr>
      <w:spacing w:before="60" w:after="0" w:line="240" w:lineRule="auto"/>
      <w:ind w:left="709"/>
    </w:pPr>
    <w:rPr>
      <w:rFonts w:ascii="Arial" w:eastAsia="Calibri" w:hAnsi="Arial" w:cs="Arial"/>
      <w:color w:val="000000"/>
      <w:sz w:val="18"/>
      <w:szCs w:val="18"/>
    </w:rPr>
  </w:style>
  <w:style w:type="character" w:customStyle="1" w:styleId="499textodrazenyChar">
    <w:name w:val="499_text_odrazeny Char"/>
    <w:basedOn w:val="Standardnpsmoodstavce"/>
    <w:link w:val="499textodrazeny"/>
    <w:uiPriority w:val="99"/>
    <w:rsid w:val="002E3C59"/>
    <w:rPr>
      <w:rFonts w:ascii="Arial" w:eastAsia="Calibri" w:hAnsi="Arial" w:cs="Arial"/>
      <w:color w:val="000000"/>
      <w:sz w:val="18"/>
      <w:szCs w:val="18"/>
    </w:rPr>
  </w:style>
  <w:style w:type="paragraph" w:customStyle="1" w:styleId="4993uroven">
    <w:name w:val="499_3uroven"/>
    <w:basedOn w:val="Normln"/>
    <w:link w:val="4993urovenChar"/>
    <w:uiPriority w:val="99"/>
    <w:rsid w:val="002E3C59"/>
    <w:pPr>
      <w:spacing w:before="120" w:after="0" w:line="240" w:lineRule="auto"/>
      <w:ind w:left="709" w:hanging="709"/>
    </w:pPr>
    <w:rPr>
      <w:rFonts w:ascii="Arial" w:eastAsia="Calibri" w:hAnsi="Arial" w:cs="Arial"/>
      <w:color w:val="000000"/>
      <w:sz w:val="20"/>
      <w:szCs w:val="20"/>
    </w:rPr>
  </w:style>
  <w:style w:type="character" w:customStyle="1" w:styleId="4993urovenChar">
    <w:name w:val="499_3uroven Char"/>
    <w:link w:val="4993uroven"/>
    <w:uiPriority w:val="99"/>
    <w:rsid w:val="002E3C59"/>
    <w:rPr>
      <w:rFonts w:ascii="Arial" w:eastAsia="Calibri" w:hAnsi="Arial" w:cs="Arial"/>
      <w:color w:val="000000"/>
      <w:sz w:val="20"/>
      <w:szCs w:val="20"/>
    </w:rPr>
  </w:style>
  <w:style w:type="paragraph" w:styleId="Zhlav">
    <w:name w:val="header"/>
    <w:basedOn w:val="Normln"/>
    <w:link w:val="ZhlavChar"/>
    <w:uiPriority w:val="99"/>
    <w:unhideWhenUsed/>
    <w:rsid w:val="002E3C5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3C59"/>
  </w:style>
  <w:style w:type="paragraph" w:styleId="Textbubliny">
    <w:name w:val="Balloon Text"/>
    <w:basedOn w:val="Normln"/>
    <w:link w:val="TextbublinyChar"/>
    <w:uiPriority w:val="99"/>
    <w:semiHidden/>
    <w:unhideWhenUsed/>
    <w:rsid w:val="003669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669C2"/>
    <w:rPr>
      <w:rFonts w:ascii="Tahoma" w:hAnsi="Tahoma" w:cs="Tahoma"/>
      <w:sz w:val="16"/>
      <w:szCs w:val="16"/>
    </w:rPr>
  </w:style>
  <w:style w:type="paragraph" w:styleId="Zpat">
    <w:name w:val="footer"/>
    <w:basedOn w:val="Normln"/>
    <w:link w:val="ZpatChar"/>
    <w:uiPriority w:val="99"/>
    <w:unhideWhenUsed/>
    <w:rsid w:val="000E517D"/>
    <w:pPr>
      <w:tabs>
        <w:tab w:val="center" w:pos="4536"/>
        <w:tab w:val="right" w:pos="9072"/>
      </w:tabs>
      <w:spacing w:after="0" w:line="240" w:lineRule="auto"/>
    </w:pPr>
  </w:style>
  <w:style w:type="character" w:customStyle="1" w:styleId="ZpatChar">
    <w:name w:val="Zápatí Char"/>
    <w:basedOn w:val="Standardnpsmoodstavce"/>
    <w:link w:val="Zpat"/>
    <w:uiPriority w:val="99"/>
    <w:rsid w:val="000E51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E3C5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499textodrazeny">
    <w:name w:val="499_text_odrazeny"/>
    <w:basedOn w:val="Normln"/>
    <w:link w:val="499textodrazenyChar"/>
    <w:uiPriority w:val="99"/>
    <w:rsid w:val="002E3C59"/>
    <w:pPr>
      <w:spacing w:before="60" w:after="0" w:line="240" w:lineRule="auto"/>
      <w:ind w:left="709"/>
    </w:pPr>
    <w:rPr>
      <w:rFonts w:ascii="Arial" w:eastAsia="Calibri" w:hAnsi="Arial" w:cs="Arial"/>
      <w:color w:val="000000"/>
      <w:sz w:val="18"/>
      <w:szCs w:val="18"/>
    </w:rPr>
  </w:style>
  <w:style w:type="character" w:customStyle="1" w:styleId="499textodrazenyChar">
    <w:name w:val="499_text_odrazeny Char"/>
    <w:basedOn w:val="Standardnpsmoodstavce"/>
    <w:link w:val="499textodrazeny"/>
    <w:uiPriority w:val="99"/>
    <w:rsid w:val="002E3C59"/>
    <w:rPr>
      <w:rFonts w:ascii="Arial" w:eastAsia="Calibri" w:hAnsi="Arial" w:cs="Arial"/>
      <w:color w:val="000000"/>
      <w:sz w:val="18"/>
      <w:szCs w:val="18"/>
    </w:rPr>
  </w:style>
  <w:style w:type="paragraph" w:customStyle="1" w:styleId="4993uroven">
    <w:name w:val="499_3uroven"/>
    <w:basedOn w:val="Normln"/>
    <w:link w:val="4993urovenChar"/>
    <w:uiPriority w:val="99"/>
    <w:rsid w:val="002E3C59"/>
    <w:pPr>
      <w:spacing w:before="120" w:after="0" w:line="240" w:lineRule="auto"/>
      <w:ind w:left="709" w:hanging="709"/>
    </w:pPr>
    <w:rPr>
      <w:rFonts w:ascii="Arial" w:eastAsia="Calibri" w:hAnsi="Arial" w:cs="Arial"/>
      <w:color w:val="000000"/>
      <w:sz w:val="20"/>
      <w:szCs w:val="20"/>
    </w:rPr>
  </w:style>
  <w:style w:type="character" w:customStyle="1" w:styleId="4993urovenChar">
    <w:name w:val="499_3uroven Char"/>
    <w:link w:val="4993uroven"/>
    <w:uiPriority w:val="99"/>
    <w:rsid w:val="002E3C59"/>
    <w:rPr>
      <w:rFonts w:ascii="Arial" w:eastAsia="Calibri" w:hAnsi="Arial" w:cs="Arial"/>
      <w:color w:val="000000"/>
      <w:sz w:val="20"/>
      <w:szCs w:val="20"/>
    </w:rPr>
  </w:style>
  <w:style w:type="paragraph" w:styleId="Zhlav">
    <w:name w:val="header"/>
    <w:basedOn w:val="Normln"/>
    <w:link w:val="ZhlavChar"/>
    <w:uiPriority w:val="99"/>
    <w:unhideWhenUsed/>
    <w:rsid w:val="002E3C5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3C59"/>
  </w:style>
  <w:style w:type="paragraph" w:styleId="Textbubliny">
    <w:name w:val="Balloon Text"/>
    <w:basedOn w:val="Normln"/>
    <w:link w:val="TextbublinyChar"/>
    <w:uiPriority w:val="99"/>
    <w:semiHidden/>
    <w:unhideWhenUsed/>
    <w:rsid w:val="003669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669C2"/>
    <w:rPr>
      <w:rFonts w:ascii="Tahoma" w:hAnsi="Tahoma" w:cs="Tahoma"/>
      <w:sz w:val="16"/>
      <w:szCs w:val="16"/>
    </w:rPr>
  </w:style>
  <w:style w:type="paragraph" w:styleId="Zpat">
    <w:name w:val="footer"/>
    <w:basedOn w:val="Normln"/>
    <w:link w:val="ZpatChar"/>
    <w:uiPriority w:val="99"/>
    <w:unhideWhenUsed/>
    <w:rsid w:val="000E517D"/>
    <w:pPr>
      <w:tabs>
        <w:tab w:val="center" w:pos="4536"/>
        <w:tab w:val="right" w:pos="9072"/>
      </w:tabs>
      <w:spacing w:after="0" w:line="240" w:lineRule="auto"/>
    </w:pPr>
  </w:style>
  <w:style w:type="character" w:customStyle="1" w:styleId="ZpatChar">
    <w:name w:val="Zápatí Char"/>
    <w:basedOn w:val="Standardnpsmoodstavce"/>
    <w:link w:val="Zpat"/>
    <w:uiPriority w:val="99"/>
    <w:rsid w:val="000E51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828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04B22-5982-45AF-B7FD-3DB224710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2673</Words>
  <Characters>15773</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18410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Dušek Jan</dc:creator>
  <cp:lastModifiedBy>Dušek Jan</cp:lastModifiedBy>
  <cp:revision>4</cp:revision>
  <dcterms:created xsi:type="dcterms:W3CDTF">2021-11-03T12:01:00Z</dcterms:created>
  <dcterms:modified xsi:type="dcterms:W3CDTF">2022-02-03T07:47:00Z</dcterms:modified>
</cp:coreProperties>
</file>